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9BBE" w14:textId="4A0F6822" w:rsidR="001A675C" w:rsidRPr="005C3CB3" w:rsidRDefault="00476122" w:rsidP="002C1BF9">
      <w:pPr>
        <w:rPr>
          <w:rFonts w:asciiTheme="minorHAnsi" w:hAnsiTheme="minorHAnsi" w:cstheme="minorHAnsi"/>
          <w:b/>
          <w:sz w:val="21"/>
          <w:szCs w:val="21"/>
          <w:u w:val="single"/>
        </w:rPr>
      </w:pPr>
      <w:bookmarkStart w:id="0" w:name="_GoBack"/>
      <w:bookmarkEnd w:id="0"/>
      <w:r w:rsidRPr="005C3CB3">
        <w:rPr>
          <w:rFonts w:asciiTheme="minorHAnsi" w:hAnsiTheme="minorHAnsi" w:cstheme="minorHAnsi"/>
          <w:b/>
          <w:sz w:val="21"/>
          <w:szCs w:val="21"/>
          <w:u w:val="single"/>
        </w:rPr>
        <w:t>ANNEX 1: THE NEED FOR EMPIRICAL DATA</w:t>
      </w:r>
    </w:p>
    <w:p w14:paraId="4B6EBE69" w14:textId="77777777" w:rsidR="0042553C" w:rsidRPr="002C1BF9" w:rsidRDefault="0042553C" w:rsidP="002C1BF9">
      <w:pPr>
        <w:rPr>
          <w:rFonts w:asciiTheme="minorHAnsi" w:hAnsiTheme="minorHAnsi" w:cstheme="minorHAnsi"/>
          <w:b/>
          <w:sz w:val="21"/>
          <w:szCs w:val="21"/>
        </w:rPr>
      </w:pPr>
    </w:p>
    <w:p w14:paraId="728B9BAE" w14:textId="77777777" w:rsidR="00476122" w:rsidRPr="005C3CB3" w:rsidRDefault="00403EDB" w:rsidP="008D55BC">
      <w:pPr>
        <w:numPr>
          <w:ilvl w:val="0"/>
          <w:numId w:val="23"/>
        </w:numPr>
        <w:rPr>
          <w:rFonts w:asciiTheme="minorHAnsi" w:hAnsiTheme="minorHAnsi" w:cstheme="minorHAnsi"/>
          <w:sz w:val="21"/>
          <w:szCs w:val="21"/>
        </w:rPr>
      </w:pPr>
      <w:r w:rsidRPr="005C3CB3">
        <w:rPr>
          <w:rFonts w:asciiTheme="minorHAnsi" w:hAnsiTheme="minorHAnsi" w:cstheme="minorHAnsi"/>
          <w:sz w:val="21"/>
          <w:szCs w:val="21"/>
        </w:rPr>
        <w:t>Underpinning any decision to regulate the short-term letting sector is the need for</w:t>
      </w:r>
      <w:r w:rsidRPr="005C3CB3">
        <w:rPr>
          <w:rFonts w:asciiTheme="minorHAnsi" w:hAnsiTheme="minorHAnsi" w:cstheme="minorHAnsi"/>
          <w:b/>
          <w:bCs/>
          <w:sz w:val="21"/>
          <w:szCs w:val="21"/>
        </w:rPr>
        <w:t xml:space="preserve"> robust, empirical data</w:t>
      </w:r>
      <w:r w:rsidRPr="005C3CB3">
        <w:rPr>
          <w:rFonts w:asciiTheme="minorHAnsi" w:hAnsiTheme="minorHAnsi" w:cstheme="minorHAnsi"/>
          <w:sz w:val="21"/>
          <w:szCs w:val="21"/>
        </w:rPr>
        <w:t>. Unfortunately, there has been a tendency to focus on scraped data from Airbnb – based on inaccurate information and flawed methodologies – leading to misleading conclusions about the nature of the short-term letting landscape.</w:t>
      </w:r>
      <w:r w:rsidRPr="005C3CB3">
        <w:rPr>
          <w:rFonts w:asciiTheme="minorHAnsi" w:hAnsiTheme="minorHAnsi" w:cstheme="minorHAnsi"/>
          <w:sz w:val="21"/>
          <w:szCs w:val="21"/>
          <w:vertAlign w:val="superscript"/>
        </w:rPr>
        <w:footnoteReference w:id="1"/>
      </w:r>
    </w:p>
    <w:p w14:paraId="70E064BC" w14:textId="77777777" w:rsidR="00403EDB" w:rsidRPr="005C3CB3" w:rsidRDefault="00403EDB" w:rsidP="008D55BC">
      <w:pPr>
        <w:numPr>
          <w:ilvl w:val="0"/>
          <w:numId w:val="23"/>
        </w:numPr>
        <w:spacing w:before="100" w:beforeAutospacing="1" w:after="100" w:afterAutospacing="1"/>
        <w:contextualSpacing/>
        <w:rPr>
          <w:rFonts w:asciiTheme="minorHAnsi" w:hAnsiTheme="minorHAnsi" w:cstheme="minorHAnsi"/>
          <w:sz w:val="21"/>
          <w:szCs w:val="21"/>
        </w:rPr>
      </w:pPr>
      <w:r w:rsidRPr="005C3CB3">
        <w:rPr>
          <w:rFonts w:asciiTheme="minorHAnsi" w:hAnsiTheme="minorHAnsi" w:cstheme="minorHAnsi"/>
          <w:sz w:val="21"/>
          <w:szCs w:val="21"/>
        </w:rPr>
        <w:t xml:space="preserve">The </w:t>
      </w:r>
      <w:r w:rsidRPr="005C3CB3">
        <w:rPr>
          <w:rFonts w:asciiTheme="minorHAnsi" w:hAnsiTheme="minorHAnsi" w:cstheme="minorHAnsi"/>
          <w:b/>
          <w:bCs/>
          <w:sz w:val="21"/>
          <w:szCs w:val="21"/>
        </w:rPr>
        <w:t>ASSC is not averse to regulation and has proactively shared evidence-based policy papers and recommendations</w:t>
      </w:r>
      <w:r w:rsidRPr="005C3CB3">
        <w:rPr>
          <w:rFonts w:asciiTheme="minorHAnsi" w:hAnsiTheme="minorHAnsi" w:cstheme="minorHAnsi"/>
          <w:sz w:val="21"/>
          <w:szCs w:val="21"/>
          <w:vertAlign w:val="superscript"/>
        </w:rPr>
        <w:footnoteReference w:id="2"/>
      </w:r>
      <w:r w:rsidRPr="005C3CB3">
        <w:rPr>
          <w:rFonts w:asciiTheme="minorHAnsi" w:hAnsiTheme="minorHAnsi" w:cstheme="minorHAnsi"/>
          <w:sz w:val="21"/>
          <w:szCs w:val="21"/>
        </w:rPr>
        <w:t xml:space="preserve"> since 2017 about the nature and scale of short-term letting in Scotland but unfortunately this has been ignored by a focus on this unreliable data from one marketing platform. </w:t>
      </w:r>
    </w:p>
    <w:p w14:paraId="6B856A51" w14:textId="77777777" w:rsidR="00403EDB" w:rsidRPr="005C3CB3" w:rsidRDefault="00403EDB" w:rsidP="008D55BC">
      <w:pPr>
        <w:numPr>
          <w:ilvl w:val="0"/>
          <w:numId w:val="23"/>
        </w:numPr>
        <w:spacing w:before="100" w:beforeAutospacing="1" w:after="100" w:afterAutospacing="1"/>
        <w:contextualSpacing/>
        <w:rPr>
          <w:rFonts w:asciiTheme="minorHAnsi" w:hAnsiTheme="minorHAnsi" w:cstheme="minorHAnsi"/>
          <w:sz w:val="21"/>
          <w:szCs w:val="21"/>
        </w:rPr>
      </w:pPr>
      <w:r w:rsidRPr="005C3CB3">
        <w:rPr>
          <w:rFonts w:asciiTheme="minorHAnsi" w:hAnsiTheme="minorHAnsi" w:cstheme="minorHAnsi"/>
          <w:sz w:val="21"/>
          <w:szCs w:val="21"/>
        </w:rPr>
        <w:t>The Scottish Government’s draft BRIA for short-term let licensing references research noting that there were approximately 32,000 active listings on Airbnb in May 2019.</w:t>
      </w:r>
      <w:r w:rsidRPr="005C3CB3">
        <w:rPr>
          <w:rFonts w:asciiTheme="minorHAnsi" w:hAnsiTheme="minorHAnsi" w:cstheme="minorHAnsi"/>
          <w:sz w:val="21"/>
          <w:szCs w:val="21"/>
          <w:vertAlign w:val="superscript"/>
        </w:rPr>
        <w:footnoteReference w:id="3"/>
      </w:r>
      <w:r w:rsidRPr="005C3CB3">
        <w:rPr>
          <w:rFonts w:asciiTheme="minorHAnsi" w:hAnsiTheme="minorHAnsi" w:cstheme="minorHAnsi"/>
          <w:sz w:val="21"/>
          <w:szCs w:val="21"/>
        </w:rPr>
        <w:t xml:space="preserve"> However, this </w:t>
      </w:r>
      <w:r w:rsidRPr="005C3CB3">
        <w:rPr>
          <w:rFonts w:asciiTheme="minorHAnsi" w:hAnsiTheme="minorHAnsi" w:cstheme="minorHAnsi"/>
          <w:b/>
          <w:bCs/>
          <w:sz w:val="21"/>
          <w:szCs w:val="21"/>
          <w:u w:val="single"/>
        </w:rPr>
        <w:t>does not</w:t>
      </w:r>
      <w:r w:rsidRPr="005C3CB3">
        <w:rPr>
          <w:rFonts w:asciiTheme="minorHAnsi" w:hAnsiTheme="minorHAnsi" w:cstheme="minorHAnsi"/>
          <w:sz w:val="21"/>
          <w:szCs w:val="21"/>
        </w:rPr>
        <w:t xml:space="preserve"> mean that there are 32,000 short-term lets which would be readily available on the long-term housing market as many have erroneously claimed.  </w:t>
      </w:r>
    </w:p>
    <w:p w14:paraId="784CA686" w14:textId="77777777" w:rsidR="00403EDB" w:rsidRPr="002C1BF9" w:rsidRDefault="00403EDB"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b/>
          <w:bCs/>
          <w:sz w:val="21"/>
          <w:szCs w:val="21"/>
        </w:rPr>
        <w:t>The number of listings on online platforms in any given area is not necessarily an indication of impact on long-term housing</w:t>
      </w:r>
      <w:r w:rsidRPr="005C3CB3">
        <w:rPr>
          <w:rFonts w:asciiTheme="minorHAnsi" w:hAnsiTheme="minorHAnsi" w:cstheme="minorHAnsi"/>
          <w:sz w:val="21"/>
          <w:szCs w:val="21"/>
        </w:rPr>
        <w:t xml:space="preserve">. For example: (a) many of these properties are already the primary residences of individuals involved in ‘homesharing’ who share a room(s), or their entire home while away; (b) each listing does not represent a single housing unit. A property can have multiple listings; and (c) marketing platforms like Airbnb contain a diverse range of accommodation including hotels and B&amp;Bs, as well as unconventional accommodation like yurts, barns, boats, and campervans and one train, which cannot be seen as housing stock. </w:t>
      </w:r>
    </w:p>
    <w:p w14:paraId="2F9D61AF" w14:textId="77777777" w:rsidR="00647CB1" w:rsidRPr="005C3CB3" w:rsidRDefault="00647CB1"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 xml:space="preserve">Furthermore, properties can also be advertised across multiple platforms, be it Airbnb, Expedia or Booking.com – referred to as </w:t>
      </w:r>
      <w:r w:rsidRPr="005C3CB3">
        <w:rPr>
          <w:rFonts w:asciiTheme="minorHAnsi" w:hAnsiTheme="minorHAnsi" w:cstheme="minorHAnsi"/>
          <w:b/>
          <w:bCs/>
          <w:sz w:val="21"/>
          <w:szCs w:val="21"/>
        </w:rPr>
        <w:t>‘cross-listing’</w:t>
      </w:r>
      <w:r w:rsidRPr="005C3CB3">
        <w:rPr>
          <w:rFonts w:asciiTheme="minorHAnsi" w:hAnsiTheme="minorHAnsi" w:cstheme="minorHAnsi"/>
          <w:sz w:val="21"/>
          <w:szCs w:val="21"/>
        </w:rPr>
        <w:t xml:space="preserve"> – creating the mistaken perception that there are more properties available for short-term let than there actually are. Properties can be listed multiple times on one or many platforms. Whole homes or single rooms in the same house often appear on more than one platform.</w:t>
      </w:r>
      <w:r w:rsidRPr="005C3CB3">
        <w:rPr>
          <w:rStyle w:val="FootnoteReference"/>
          <w:rFonts w:asciiTheme="minorHAnsi" w:hAnsiTheme="minorHAnsi" w:cstheme="minorHAnsi"/>
          <w:sz w:val="21"/>
          <w:szCs w:val="21"/>
        </w:rPr>
        <w:footnoteReference w:id="4"/>
      </w:r>
    </w:p>
    <w:p w14:paraId="43B94BEB" w14:textId="77777777" w:rsidR="00403EDB" w:rsidRPr="005C3CB3" w:rsidRDefault="00403EDB"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Parliamentary answers from the Scottish Government</w:t>
      </w:r>
      <w:r w:rsidRPr="005C3CB3">
        <w:rPr>
          <w:rFonts w:asciiTheme="minorHAnsi" w:hAnsiTheme="minorHAnsi" w:cstheme="minorHAnsi"/>
          <w:sz w:val="21"/>
          <w:szCs w:val="21"/>
          <w:vertAlign w:val="superscript"/>
        </w:rPr>
        <w:footnoteReference w:id="5"/>
      </w:r>
      <w:r w:rsidRPr="005C3CB3">
        <w:rPr>
          <w:rFonts w:asciiTheme="minorHAnsi" w:hAnsiTheme="minorHAnsi" w:cstheme="minorHAnsi"/>
          <w:sz w:val="21"/>
          <w:szCs w:val="21"/>
        </w:rPr>
        <w:t xml:space="preserve"> confirm the </w:t>
      </w:r>
      <w:r w:rsidRPr="005C3CB3">
        <w:rPr>
          <w:rFonts w:asciiTheme="minorHAnsi" w:hAnsiTheme="minorHAnsi" w:cstheme="minorHAnsi"/>
          <w:b/>
          <w:bCs/>
          <w:sz w:val="21"/>
          <w:szCs w:val="21"/>
        </w:rPr>
        <w:t>BRIA figures were from scraped data provided by InsideAirbnb</w:t>
      </w:r>
      <w:r w:rsidRPr="005C3CB3">
        <w:rPr>
          <w:rFonts w:asciiTheme="minorHAnsi" w:hAnsiTheme="minorHAnsi" w:cstheme="minorHAnsi"/>
          <w:sz w:val="21"/>
          <w:szCs w:val="21"/>
        </w:rPr>
        <w:t xml:space="preserve"> (not from Airbnb directly) and that they </w:t>
      </w:r>
      <w:r w:rsidRPr="005C3CB3">
        <w:rPr>
          <w:rFonts w:asciiTheme="minorHAnsi" w:hAnsiTheme="minorHAnsi" w:cstheme="minorHAnsi"/>
          <w:b/>
          <w:bCs/>
          <w:sz w:val="21"/>
          <w:szCs w:val="21"/>
        </w:rPr>
        <w:t>could not break this down by property type</w:t>
      </w:r>
      <w:r w:rsidRPr="005C3CB3">
        <w:rPr>
          <w:rFonts w:asciiTheme="minorHAnsi" w:hAnsiTheme="minorHAnsi" w:cstheme="minorHAnsi"/>
          <w:sz w:val="21"/>
          <w:szCs w:val="21"/>
        </w:rPr>
        <w:t xml:space="preserve"> – be it a single/shared room, entire property, or unconventional accommodation. This means the estimation there are 32,000 </w:t>
      </w:r>
      <w:r w:rsidRPr="005C3CB3">
        <w:rPr>
          <w:rFonts w:asciiTheme="minorHAnsi" w:hAnsiTheme="minorHAnsi" w:cstheme="minorHAnsi"/>
          <w:i/>
          <w:iCs/>
          <w:sz w:val="21"/>
          <w:szCs w:val="21"/>
        </w:rPr>
        <w:t>“short-term lets”</w:t>
      </w:r>
      <w:r w:rsidRPr="005C3CB3">
        <w:rPr>
          <w:rFonts w:asciiTheme="minorHAnsi" w:hAnsiTheme="minorHAnsi" w:cstheme="minorHAnsi"/>
          <w:sz w:val="21"/>
          <w:szCs w:val="21"/>
        </w:rPr>
        <w:t xml:space="preserve"> is wholly unreliable. It is also based on pre-pandemic 2019 figures. Moreover, they admit </w:t>
      </w:r>
      <w:r w:rsidRPr="005C3CB3">
        <w:rPr>
          <w:rFonts w:asciiTheme="minorHAnsi" w:hAnsiTheme="minorHAnsi" w:cstheme="minorHAnsi"/>
          <w:i/>
          <w:iCs/>
          <w:sz w:val="21"/>
          <w:szCs w:val="21"/>
        </w:rPr>
        <w:t>“</w:t>
      </w:r>
      <w:r w:rsidRPr="005C3CB3">
        <w:rPr>
          <w:rFonts w:asciiTheme="minorHAnsi" w:hAnsiTheme="minorHAnsi" w:cstheme="minorHAnsi"/>
          <w:b/>
          <w:bCs/>
          <w:i/>
          <w:iCs/>
          <w:sz w:val="21"/>
          <w:szCs w:val="21"/>
        </w:rPr>
        <w:t xml:space="preserve">we do not have an estimate of how many short-term </w:t>
      </w:r>
      <w:proofErr w:type="gramStart"/>
      <w:r w:rsidRPr="005C3CB3">
        <w:rPr>
          <w:rFonts w:asciiTheme="minorHAnsi" w:hAnsiTheme="minorHAnsi" w:cstheme="minorHAnsi"/>
          <w:b/>
          <w:bCs/>
          <w:i/>
          <w:iCs/>
          <w:sz w:val="21"/>
          <w:szCs w:val="21"/>
        </w:rPr>
        <w:t>lets</w:t>
      </w:r>
      <w:proofErr w:type="gramEnd"/>
      <w:r w:rsidRPr="005C3CB3">
        <w:rPr>
          <w:rFonts w:asciiTheme="minorHAnsi" w:hAnsiTheme="minorHAnsi" w:cstheme="minorHAnsi"/>
          <w:b/>
          <w:bCs/>
          <w:i/>
          <w:iCs/>
          <w:sz w:val="21"/>
          <w:szCs w:val="21"/>
        </w:rPr>
        <w:t> will return to the long-term housing market</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6"/>
      </w:r>
    </w:p>
    <w:p w14:paraId="36A24BF1" w14:textId="77777777" w:rsidR="00F67024" w:rsidRPr="005C3CB3" w:rsidRDefault="00F67024" w:rsidP="008D55BC">
      <w:pPr>
        <w:numPr>
          <w:ilvl w:val="0"/>
          <w:numId w:val="23"/>
        </w:numPr>
        <w:spacing w:after="160"/>
        <w:contextualSpacing/>
        <w:rPr>
          <w:rFonts w:asciiTheme="minorHAnsi" w:hAnsiTheme="minorHAnsi" w:cstheme="minorHAnsi"/>
          <w:sz w:val="21"/>
          <w:szCs w:val="21"/>
        </w:rPr>
      </w:pPr>
      <w:r w:rsidRPr="005C3CB3">
        <w:rPr>
          <w:rFonts w:asciiTheme="minorHAnsi" w:hAnsiTheme="minorHAnsi" w:cstheme="minorHAnsi"/>
          <w:sz w:val="21"/>
          <w:szCs w:val="21"/>
        </w:rPr>
        <w:t xml:space="preserve">The ASSC have previously argued that there is a lack of data showing an empirical link between short-term lets and housing shortages and that a more holistic approach needs to be taken to the issue. </w:t>
      </w:r>
      <w:r w:rsidRPr="005C3CB3">
        <w:rPr>
          <w:rFonts w:asciiTheme="minorHAnsi" w:hAnsiTheme="minorHAnsi" w:cstheme="minorHAnsi"/>
          <w:b/>
          <w:bCs/>
          <w:sz w:val="21"/>
          <w:szCs w:val="21"/>
        </w:rPr>
        <w:t xml:space="preserve">Housing challenges are multifaceted and the growth of short-term </w:t>
      </w:r>
      <w:proofErr w:type="gramStart"/>
      <w:r w:rsidRPr="005C3CB3">
        <w:rPr>
          <w:rFonts w:asciiTheme="minorHAnsi" w:hAnsiTheme="minorHAnsi" w:cstheme="minorHAnsi"/>
          <w:b/>
          <w:bCs/>
          <w:sz w:val="21"/>
          <w:szCs w:val="21"/>
        </w:rPr>
        <w:t>lets</w:t>
      </w:r>
      <w:proofErr w:type="gramEnd"/>
      <w:r w:rsidRPr="005C3CB3">
        <w:rPr>
          <w:rFonts w:asciiTheme="minorHAnsi" w:hAnsiTheme="minorHAnsi" w:cstheme="minorHAnsi"/>
          <w:b/>
          <w:bCs/>
          <w:sz w:val="21"/>
          <w:szCs w:val="21"/>
        </w:rPr>
        <w:t xml:space="preserve"> should not be used as a convenient scapegoat for wider policy failures</w:t>
      </w:r>
      <w:r w:rsidRPr="005C3CB3">
        <w:rPr>
          <w:rFonts w:asciiTheme="minorHAnsi" w:hAnsiTheme="minorHAnsi" w:cstheme="minorHAnsi"/>
          <w:sz w:val="21"/>
          <w:szCs w:val="21"/>
        </w:rPr>
        <w:t>; namely the failure to build more homes or bring empty homes back into use. Thus far, no evidence has been published in Scotland that demonstrates a concrete link between short-term letting and the Scottish housing supply.</w:t>
      </w:r>
    </w:p>
    <w:p w14:paraId="6919D181" w14:textId="77777777" w:rsidR="00DA078A" w:rsidRDefault="00DA078A" w:rsidP="002C1BF9">
      <w:pPr>
        <w:rPr>
          <w:rFonts w:asciiTheme="minorHAnsi" w:hAnsiTheme="minorHAnsi" w:cstheme="minorHAnsi"/>
          <w:b/>
          <w:sz w:val="21"/>
          <w:szCs w:val="21"/>
          <w:u w:val="single"/>
        </w:rPr>
      </w:pPr>
    </w:p>
    <w:p w14:paraId="0669D68E" w14:textId="77777777" w:rsidR="008231EB" w:rsidRDefault="008231EB">
      <w:pPr>
        <w:rPr>
          <w:rFonts w:asciiTheme="minorHAnsi" w:hAnsiTheme="minorHAnsi" w:cstheme="minorHAnsi"/>
          <w:b/>
          <w:sz w:val="21"/>
          <w:szCs w:val="21"/>
          <w:u w:val="single"/>
        </w:rPr>
      </w:pPr>
      <w:r>
        <w:rPr>
          <w:rFonts w:asciiTheme="minorHAnsi" w:hAnsiTheme="minorHAnsi" w:cstheme="minorHAnsi"/>
          <w:b/>
          <w:sz w:val="21"/>
          <w:szCs w:val="21"/>
          <w:u w:val="single"/>
        </w:rPr>
        <w:br w:type="page"/>
      </w:r>
    </w:p>
    <w:p w14:paraId="1E872119" w14:textId="38FE149E" w:rsidR="00033DD9" w:rsidRPr="005C3CB3" w:rsidRDefault="00033DD9" w:rsidP="002C1BF9">
      <w:pPr>
        <w:rPr>
          <w:rFonts w:asciiTheme="minorHAnsi" w:hAnsiTheme="minorHAnsi" w:cstheme="minorHAnsi"/>
          <w:b/>
          <w:sz w:val="21"/>
          <w:szCs w:val="21"/>
          <w:u w:val="single"/>
        </w:rPr>
      </w:pPr>
      <w:r w:rsidRPr="005C3CB3">
        <w:rPr>
          <w:rFonts w:asciiTheme="minorHAnsi" w:hAnsiTheme="minorHAnsi" w:cstheme="minorHAnsi"/>
          <w:b/>
          <w:sz w:val="21"/>
          <w:szCs w:val="21"/>
          <w:u w:val="single"/>
        </w:rPr>
        <w:lastRenderedPageBreak/>
        <w:t xml:space="preserve">Annex </w:t>
      </w:r>
      <w:r w:rsidR="00FD33C2" w:rsidRPr="005C3CB3">
        <w:rPr>
          <w:rFonts w:asciiTheme="minorHAnsi" w:hAnsiTheme="minorHAnsi" w:cstheme="minorHAnsi"/>
          <w:b/>
          <w:sz w:val="21"/>
          <w:szCs w:val="21"/>
          <w:u w:val="single"/>
        </w:rPr>
        <w:t>2</w:t>
      </w:r>
      <w:r w:rsidRPr="005C3CB3">
        <w:rPr>
          <w:rFonts w:asciiTheme="minorHAnsi" w:hAnsiTheme="minorHAnsi" w:cstheme="minorHAnsi"/>
          <w:b/>
          <w:sz w:val="21"/>
          <w:szCs w:val="21"/>
          <w:u w:val="single"/>
        </w:rPr>
        <w:t xml:space="preserve">: REGULATIONS AND GUIDANCE ASSOCIATED WITH ‘TRADITIONAL’ SELF-CATERING AND B&amp;B ACCOMMODATION IN SCOTLAND </w:t>
      </w:r>
    </w:p>
    <w:p w14:paraId="410D90C0" w14:textId="77777777" w:rsidR="00033DD9" w:rsidRPr="005C3CB3" w:rsidRDefault="00033DD9" w:rsidP="002C1BF9">
      <w:pPr>
        <w:rPr>
          <w:rFonts w:asciiTheme="minorHAnsi" w:hAnsiTheme="minorHAnsi" w:cstheme="minorHAnsi"/>
          <w:b/>
          <w:sz w:val="21"/>
          <w:szCs w:val="21"/>
        </w:rPr>
      </w:pPr>
    </w:p>
    <w:p w14:paraId="4076F954" w14:textId="77777777" w:rsidR="00033DD9" w:rsidRPr="005C3CB3" w:rsidRDefault="00033DD9" w:rsidP="002C1BF9">
      <w:pPr>
        <w:rPr>
          <w:rFonts w:asciiTheme="minorHAnsi" w:hAnsiTheme="minorHAnsi" w:cstheme="minorHAnsi"/>
          <w:sz w:val="21"/>
          <w:szCs w:val="21"/>
        </w:rPr>
      </w:pPr>
      <w:r w:rsidRPr="005C3CB3">
        <w:rPr>
          <w:rFonts w:asciiTheme="minorHAnsi" w:hAnsiTheme="minorHAnsi" w:cstheme="minorHAnsi"/>
          <w:sz w:val="21"/>
          <w:szCs w:val="21"/>
        </w:rPr>
        <w:t xml:space="preserve">The following table sets out the key requirements in place for self-catering and B&amp;B accommodation in Scotland and identifies whether this is a legal requirement or guidance for each.  </w:t>
      </w:r>
    </w:p>
    <w:p w14:paraId="2F47F4B7" w14:textId="77777777" w:rsidR="00033DD9" w:rsidRPr="005C3CB3" w:rsidRDefault="00033DD9" w:rsidP="002C1BF9">
      <w:pPr>
        <w:rPr>
          <w:rFonts w:asciiTheme="minorHAnsi" w:hAnsiTheme="minorHAnsi" w:cstheme="minorHAnsi"/>
          <w:sz w:val="21"/>
          <w:szCs w:val="21"/>
        </w:rPr>
      </w:pPr>
    </w:p>
    <w:p w14:paraId="7683EB37" w14:textId="77777777" w:rsidR="00033DD9" w:rsidRPr="005C3CB3" w:rsidRDefault="00033DD9" w:rsidP="002C1BF9">
      <w:pPr>
        <w:rPr>
          <w:rFonts w:asciiTheme="minorHAnsi" w:hAnsiTheme="minorHAnsi" w:cstheme="minorHAnsi"/>
          <w:sz w:val="21"/>
          <w:szCs w:val="21"/>
        </w:rPr>
      </w:pPr>
      <w:r w:rsidRPr="005C3CB3">
        <w:rPr>
          <w:rFonts w:asciiTheme="minorHAnsi" w:hAnsiTheme="minorHAnsi" w:cstheme="minorHAnsi"/>
          <w:sz w:val="21"/>
          <w:szCs w:val="21"/>
        </w:rPr>
        <w:t xml:space="preserve">VisitScotland operate a Quality Assurance scheme which asks businesses to confirm they comply with their statutory obligations; health &amp; safety/ fire regulations etc. However, they do not list the specifics nor check everything is in place (though the business owner/manager does sign up in commitment to having these in place and if any legitimate concerns regarding lack of compliance were raised they would be omitted from the scheme.   </w:t>
      </w:r>
    </w:p>
    <w:p w14:paraId="3DE39BE9" w14:textId="77777777" w:rsidR="00033DD9" w:rsidRPr="005C3CB3" w:rsidRDefault="00033DD9" w:rsidP="002C1BF9">
      <w:pPr>
        <w:rPr>
          <w:rFonts w:asciiTheme="minorHAnsi" w:hAnsiTheme="minorHAnsi" w:cstheme="minorHAnsi"/>
          <w:sz w:val="21"/>
          <w:szCs w:val="21"/>
        </w:rPr>
      </w:pPr>
    </w:p>
    <w:p w14:paraId="5FE10818" w14:textId="77777777" w:rsidR="00033DD9" w:rsidRPr="005C3CB3" w:rsidRDefault="00033DD9" w:rsidP="002C1BF9">
      <w:pPr>
        <w:rPr>
          <w:rFonts w:asciiTheme="minorHAnsi" w:hAnsiTheme="minorHAnsi" w:cstheme="minorHAnsi"/>
          <w:bCs/>
          <w:sz w:val="21"/>
          <w:szCs w:val="21"/>
        </w:rPr>
      </w:pPr>
      <w:r w:rsidRPr="005C3CB3">
        <w:rPr>
          <w:rFonts w:asciiTheme="minorHAnsi" w:hAnsiTheme="minorHAnsi" w:cstheme="minorHAnsi"/>
          <w:sz w:val="21"/>
          <w:szCs w:val="21"/>
        </w:rPr>
        <w:t xml:space="preserve">Members of the ASSC </w:t>
      </w:r>
      <w:r w:rsidRPr="005C3CB3">
        <w:rPr>
          <w:rFonts w:asciiTheme="minorHAnsi" w:hAnsiTheme="minorHAnsi" w:cstheme="minorHAnsi"/>
          <w:bCs/>
          <w:sz w:val="21"/>
          <w:szCs w:val="21"/>
        </w:rPr>
        <w:t>are required to make an annual declaration confirming their Commitment to Quality</w:t>
      </w:r>
      <w:r w:rsidRPr="005C3CB3">
        <w:rPr>
          <w:rFonts w:asciiTheme="minorHAnsi" w:hAnsiTheme="minorHAnsi" w:cstheme="minorHAnsi"/>
          <w:sz w:val="21"/>
          <w:szCs w:val="21"/>
        </w:rPr>
        <w:t>, the ASSC’s Quality Assurance scheme. This is enshrined in the Members Operating Agreement, along with the Code of Practice which signposts members to legal compliance and best practice. This is a self-regulatory scheme, which comes at</w:t>
      </w:r>
      <w:r w:rsidRPr="005C3CB3">
        <w:rPr>
          <w:rFonts w:asciiTheme="minorHAnsi" w:hAnsiTheme="minorHAnsi" w:cstheme="minorHAnsi"/>
          <w:b/>
          <w:bCs/>
          <w:sz w:val="21"/>
          <w:szCs w:val="21"/>
        </w:rPr>
        <w:t> </w:t>
      </w:r>
      <w:r w:rsidRPr="005C3CB3">
        <w:rPr>
          <w:rFonts w:asciiTheme="minorHAnsi" w:hAnsiTheme="minorHAnsi" w:cstheme="minorHAnsi"/>
          <w:bCs/>
          <w:sz w:val="21"/>
          <w:szCs w:val="21"/>
        </w:rPr>
        <w:t>no additional cost to members.</w:t>
      </w:r>
    </w:p>
    <w:p w14:paraId="57006160" w14:textId="77777777" w:rsidR="00033DD9" w:rsidRPr="005C3CB3" w:rsidRDefault="00033DD9" w:rsidP="002C1BF9">
      <w:pPr>
        <w:rPr>
          <w:rFonts w:asciiTheme="minorHAnsi" w:hAnsiTheme="minorHAnsi" w:cstheme="minorHAnsi"/>
          <w:sz w:val="21"/>
          <w:szCs w:val="21"/>
        </w:rPr>
      </w:pPr>
    </w:p>
    <w:tbl>
      <w:tblPr>
        <w:tblStyle w:val="TableGrid"/>
        <w:tblW w:w="9351" w:type="dxa"/>
        <w:tblLook w:val="04A0" w:firstRow="1" w:lastRow="0" w:firstColumn="1" w:lastColumn="0" w:noHBand="0" w:noVBand="1"/>
      </w:tblPr>
      <w:tblGrid>
        <w:gridCol w:w="1441"/>
        <w:gridCol w:w="1073"/>
        <w:gridCol w:w="1094"/>
        <w:gridCol w:w="794"/>
        <w:gridCol w:w="4949"/>
      </w:tblGrid>
      <w:tr w:rsidR="00F007EC" w:rsidRPr="005C3CB3" w14:paraId="2361C829" w14:textId="77777777" w:rsidTr="005C3CB3">
        <w:tc>
          <w:tcPr>
            <w:tcW w:w="1441" w:type="dxa"/>
          </w:tcPr>
          <w:p w14:paraId="44A485DA"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Requirement</w:t>
            </w:r>
          </w:p>
        </w:tc>
        <w:tc>
          <w:tcPr>
            <w:tcW w:w="1073" w:type="dxa"/>
          </w:tcPr>
          <w:p w14:paraId="76AFDE33"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Legal or Guidance </w:t>
            </w:r>
          </w:p>
        </w:tc>
        <w:tc>
          <w:tcPr>
            <w:tcW w:w="1094" w:type="dxa"/>
          </w:tcPr>
          <w:p w14:paraId="53EC3AD8"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Self-catering  </w:t>
            </w:r>
          </w:p>
        </w:tc>
        <w:tc>
          <w:tcPr>
            <w:tcW w:w="794" w:type="dxa"/>
          </w:tcPr>
          <w:p w14:paraId="289A5519"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B&amp;B </w:t>
            </w:r>
          </w:p>
        </w:tc>
        <w:tc>
          <w:tcPr>
            <w:tcW w:w="4949" w:type="dxa"/>
          </w:tcPr>
          <w:p w14:paraId="43BF77C0" w14:textId="77777777" w:rsidR="00F007EC" w:rsidRPr="00DA078A" w:rsidRDefault="00F007EC" w:rsidP="002C1BF9">
            <w:pPr>
              <w:rPr>
                <w:rFonts w:asciiTheme="minorHAnsi" w:hAnsiTheme="minorHAnsi" w:cstheme="minorHAnsi"/>
                <w:b/>
                <w:sz w:val="20"/>
                <w:szCs w:val="20"/>
              </w:rPr>
            </w:pPr>
            <w:r w:rsidRPr="00DA078A">
              <w:rPr>
                <w:rFonts w:asciiTheme="minorHAnsi" w:hAnsiTheme="minorHAnsi" w:cstheme="minorHAnsi"/>
                <w:b/>
                <w:sz w:val="20"/>
                <w:szCs w:val="20"/>
              </w:rPr>
              <w:t xml:space="preserve">Additional Comments </w:t>
            </w:r>
          </w:p>
        </w:tc>
      </w:tr>
      <w:tr w:rsidR="00F007EC" w:rsidRPr="005C3CB3" w14:paraId="32112517" w14:textId="77777777" w:rsidTr="005C3CB3">
        <w:tc>
          <w:tcPr>
            <w:tcW w:w="1441" w:type="dxa"/>
          </w:tcPr>
          <w:p w14:paraId="7948845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Property Evaluation – General risk assessment to create a safe environment </w:t>
            </w:r>
          </w:p>
        </w:tc>
        <w:tc>
          <w:tcPr>
            <w:tcW w:w="1073" w:type="dxa"/>
          </w:tcPr>
          <w:p w14:paraId="6E09E75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0CFC66B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49FE702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121359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Identify potential Hazards for guests and employees and precautions to ensure safety </w:t>
            </w:r>
          </w:p>
        </w:tc>
      </w:tr>
      <w:tr w:rsidR="00F007EC" w:rsidRPr="005C3CB3" w14:paraId="4F2919F3" w14:textId="77777777" w:rsidTr="005C3CB3">
        <w:tc>
          <w:tcPr>
            <w:tcW w:w="1441" w:type="dxa"/>
          </w:tcPr>
          <w:p w14:paraId="56C8B14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Gas Safety Certificate</w:t>
            </w:r>
          </w:p>
        </w:tc>
        <w:tc>
          <w:tcPr>
            <w:tcW w:w="1073" w:type="dxa"/>
          </w:tcPr>
          <w:p w14:paraId="6C45ED6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51B13E8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7B82D7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0FB5DE9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Landlords are required to ensure gas appliances are safe and have a gas safety check by a Gas Safe Engineer.  Certificate must be renewed annually.</w:t>
            </w:r>
          </w:p>
        </w:tc>
      </w:tr>
      <w:tr w:rsidR="00F007EC" w:rsidRPr="005C3CB3" w14:paraId="522905D2" w14:textId="77777777" w:rsidTr="005C3CB3">
        <w:tc>
          <w:tcPr>
            <w:tcW w:w="1441" w:type="dxa"/>
          </w:tcPr>
          <w:p w14:paraId="76D569F9"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Fire Safety and Mains Wired Smoke Alarms </w:t>
            </w:r>
          </w:p>
        </w:tc>
        <w:tc>
          <w:tcPr>
            <w:tcW w:w="1073" w:type="dxa"/>
          </w:tcPr>
          <w:p w14:paraId="744F687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2567BCE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7C6C6C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3FC3B5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 Fire (Scotland) Act 2005 (‘the 2005 Act’): Requires all commercial premises to conduct a fire risk assessment and put in place appropriate mitigations. It is all accommodation providers’ legal obligation to comply, regardless of whether they are amateur or professional hosts.</w:t>
            </w:r>
            <w:r w:rsidRPr="00DA078A">
              <w:rPr>
                <w:rFonts w:asciiTheme="minorHAnsi" w:hAnsiTheme="minorHAnsi" w:cstheme="minorHAnsi"/>
                <w:i/>
                <w:sz w:val="20"/>
                <w:szCs w:val="20"/>
              </w:rPr>
              <w:t xml:space="preserve"> </w:t>
            </w:r>
            <w:r w:rsidRPr="00DA078A">
              <w:rPr>
                <w:rFonts w:asciiTheme="minorHAnsi" w:hAnsiTheme="minorHAnsi" w:cstheme="minorHAnsi"/>
                <w:sz w:val="20"/>
                <w:szCs w:val="20"/>
              </w:rPr>
              <w:t xml:space="preserve">The Scottish Fire and Rescue Service (‘SFRS’) is the enforcing authority. </w:t>
            </w:r>
            <w:r w:rsidRPr="00DA078A">
              <w:rPr>
                <w:rStyle w:val="FootnoteReference"/>
                <w:rFonts w:asciiTheme="minorHAnsi" w:hAnsiTheme="minorHAnsi" w:cstheme="minorHAnsi"/>
                <w:sz w:val="20"/>
                <w:szCs w:val="20"/>
              </w:rPr>
              <w:footnoteReference w:id="7"/>
            </w:r>
            <w:r w:rsidRPr="00DA078A">
              <w:rPr>
                <w:rFonts w:asciiTheme="minorHAnsi" w:hAnsiTheme="minorHAnsi" w:cstheme="minorHAnsi"/>
                <w:i/>
                <w:sz w:val="20"/>
                <w:szCs w:val="20"/>
              </w:rPr>
              <w:t xml:space="preserve"> </w:t>
            </w:r>
            <w:r w:rsidRPr="00DA078A">
              <w:rPr>
                <w:rFonts w:asciiTheme="minorHAnsi" w:hAnsiTheme="minorHAnsi" w:cstheme="minorHAnsi"/>
                <w:sz w:val="20"/>
                <w:szCs w:val="20"/>
              </w:rPr>
              <w:t>There is different compliance for B&amp;Bs and self-catering, and indeed different sizes of properties, proportionately reflecting the different accommodation models.</w:t>
            </w:r>
          </w:p>
        </w:tc>
      </w:tr>
      <w:tr w:rsidR="00F007EC" w:rsidRPr="005C3CB3" w14:paraId="72305937" w14:textId="77777777" w:rsidTr="005C3CB3">
        <w:tc>
          <w:tcPr>
            <w:tcW w:w="1441" w:type="dxa"/>
          </w:tcPr>
          <w:p w14:paraId="0AD1268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Carbon Monoxide Alarms </w:t>
            </w:r>
          </w:p>
        </w:tc>
        <w:tc>
          <w:tcPr>
            <w:tcW w:w="1073" w:type="dxa"/>
          </w:tcPr>
          <w:p w14:paraId="14BED4D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77F81BD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451CC6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511A1F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CO detectors must comply with BS EN 50291-1+A</w:t>
            </w:r>
            <w:proofErr w:type="gramStart"/>
            <w:r w:rsidRPr="00DA078A">
              <w:rPr>
                <w:rFonts w:asciiTheme="minorHAnsi" w:hAnsiTheme="minorHAnsi" w:cstheme="minorHAnsi"/>
                <w:sz w:val="20"/>
                <w:szCs w:val="20"/>
              </w:rPr>
              <w:t>1:2002  Hard</w:t>
            </w:r>
            <w:proofErr w:type="gramEnd"/>
            <w:r w:rsidRPr="00DA078A">
              <w:rPr>
                <w:rFonts w:asciiTheme="minorHAnsi" w:hAnsiTheme="minorHAnsi" w:cstheme="minorHAnsi"/>
                <w:sz w:val="20"/>
                <w:szCs w:val="20"/>
              </w:rPr>
              <w:t>-wired or wireless installations -  applicable European directives.</w:t>
            </w:r>
          </w:p>
        </w:tc>
      </w:tr>
      <w:tr w:rsidR="00F007EC" w:rsidRPr="005C3CB3" w14:paraId="3AB359B1" w14:textId="77777777" w:rsidTr="005C3CB3">
        <w:tc>
          <w:tcPr>
            <w:tcW w:w="1441" w:type="dxa"/>
          </w:tcPr>
          <w:p w14:paraId="43DB774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Food safety hygiene </w:t>
            </w:r>
          </w:p>
        </w:tc>
        <w:tc>
          <w:tcPr>
            <w:tcW w:w="1073" w:type="dxa"/>
          </w:tcPr>
          <w:p w14:paraId="557CF3E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5A6D05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N/A</w:t>
            </w:r>
          </w:p>
        </w:tc>
        <w:tc>
          <w:tcPr>
            <w:tcW w:w="794" w:type="dxa"/>
          </w:tcPr>
          <w:p w14:paraId="5B92B1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25C2BC0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Businesses serving food (including breakfasts) must comply with </w:t>
            </w:r>
            <w:hyperlink r:id="rId8" w:history="1">
              <w:r w:rsidRPr="00DA078A">
                <w:rPr>
                  <w:rStyle w:val="Hyperlink"/>
                  <w:rFonts w:asciiTheme="minorHAnsi" w:hAnsiTheme="minorHAnsi" w:cstheme="minorHAnsi"/>
                  <w:color w:val="auto"/>
                  <w:sz w:val="20"/>
                  <w:szCs w:val="20"/>
                </w:rPr>
                <w:t>food safety legislation</w:t>
              </w:r>
            </w:hyperlink>
          </w:p>
        </w:tc>
      </w:tr>
      <w:tr w:rsidR="00F007EC" w:rsidRPr="005C3CB3" w14:paraId="26DAD521" w14:textId="77777777" w:rsidTr="005C3CB3">
        <w:tc>
          <w:tcPr>
            <w:tcW w:w="1441" w:type="dxa"/>
          </w:tcPr>
          <w:p w14:paraId="0D84A14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Electrical safety </w:t>
            </w:r>
          </w:p>
        </w:tc>
        <w:tc>
          <w:tcPr>
            <w:tcW w:w="1073" w:type="dxa"/>
          </w:tcPr>
          <w:p w14:paraId="342C3A0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1FBABD1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59F5DF9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488EBC4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From December 2015 Scottish landlords need an Electrical Installation Condition Report (EICR) for new tenancies: a check of the fixed wiring in the property (which lasts 5 years). Holiday home owners have a legal obligation to ensure that electrical appliances are in safe condition for the use of guests.  The Electricity at Work Regulations 1989 recommends that every electrical installation is subjected to periodic inspection and testing</w:t>
            </w:r>
            <w:r w:rsidRPr="00DA078A">
              <w:rPr>
                <w:rFonts w:asciiTheme="minorHAnsi" w:hAnsiTheme="minorHAnsi" w:cstheme="minorHAnsi"/>
                <w:sz w:val="20"/>
                <w:szCs w:val="20"/>
              </w:rPr>
              <w:footnoteReference w:id="8"/>
            </w:r>
            <w:r w:rsidRPr="00DA078A">
              <w:rPr>
                <w:rFonts w:asciiTheme="minorHAnsi" w:hAnsiTheme="minorHAnsi" w:cstheme="minorHAnsi"/>
                <w:sz w:val="20"/>
                <w:szCs w:val="20"/>
              </w:rPr>
              <w:t xml:space="preserve">.  </w:t>
            </w:r>
          </w:p>
        </w:tc>
      </w:tr>
      <w:tr w:rsidR="00F007EC" w:rsidRPr="005C3CB3" w14:paraId="2B75007B" w14:textId="77777777" w:rsidTr="005C3CB3">
        <w:tc>
          <w:tcPr>
            <w:tcW w:w="1441" w:type="dxa"/>
          </w:tcPr>
          <w:p w14:paraId="342F0FD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Portable Appliance testing (PAT Testing)</w:t>
            </w:r>
          </w:p>
        </w:tc>
        <w:tc>
          <w:tcPr>
            <w:tcW w:w="1073" w:type="dxa"/>
          </w:tcPr>
          <w:p w14:paraId="0C7F24B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04B12FA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C7D7D4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153B9FF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Landlords are legally required to have PAT testing carried out on any electrical appliances provided in a property (including ovens, fridge freezers and other white goods). There is no legal requirement for holiday home owners, but annual PAT testing is best practice and recommended by the ASSC.  </w:t>
            </w:r>
          </w:p>
        </w:tc>
      </w:tr>
      <w:tr w:rsidR="00F007EC" w:rsidRPr="005C3CB3" w14:paraId="584AFC14" w14:textId="77777777" w:rsidTr="005C3CB3">
        <w:tc>
          <w:tcPr>
            <w:tcW w:w="1441" w:type="dxa"/>
          </w:tcPr>
          <w:p w14:paraId="42A02D2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Legionella risk assessment </w:t>
            </w:r>
          </w:p>
        </w:tc>
        <w:tc>
          <w:tcPr>
            <w:tcW w:w="1073" w:type="dxa"/>
          </w:tcPr>
          <w:p w14:paraId="15F1DD8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ACD71F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369AFC3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72CA5C7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As a provider of self-catering accommodation, you must ensure that the risk from exposure to legionella in your premises is properly controlled. To that end it is advised that you identify and assess the risk from exposure to legionella to your own staff, guests and customers, and any other people working in your premises, and introduce appropriate measures to control any risk.  It is also advised that you review your legionella risk assessment annually. Spa pools and hot tubs pose a significant risk of legionella and owners of properties with a spa pool or hot tub must carry out a legionella risk assessment and implement safety measures</w:t>
            </w:r>
            <w:r w:rsidRPr="00DA078A">
              <w:rPr>
                <w:rFonts w:asciiTheme="minorHAnsi" w:hAnsiTheme="minorHAnsi" w:cstheme="minorHAnsi"/>
                <w:sz w:val="20"/>
                <w:szCs w:val="20"/>
              </w:rPr>
              <w:footnoteReference w:id="9"/>
            </w:r>
            <w:r w:rsidRPr="00DA078A">
              <w:rPr>
                <w:rFonts w:asciiTheme="minorHAnsi" w:hAnsiTheme="minorHAnsi" w:cstheme="minorHAnsi"/>
                <w:sz w:val="20"/>
                <w:szCs w:val="20"/>
              </w:rPr>
              <w:t xml:space="preserve">.  </w:t>
            </w:r>
          </w:p>
        </w:tc>
      </w:tr>
      <w:tr w:rsidR="00F007EC" w:rsidRPr="005C3CB3" w14:paraId="5BB63C79" w14:textId="77777777" w:rsidTr="005C3CB3">
        <w:tc>
          <w:tcPr>
            <w:tcW w:w="1441" w:type="dxa"/>
          </w:tcPr>
          <w:p w14:paraId="4FB56EF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Furniture and furnishings </w:t>
            </w:r>
          </w:p>
        </w:tc>
        <w:tc>
          <w:tcPr>
            <w:tcW w:w="1073" w:type="dxa"/>
          </w:tcPr>
          <w:p w14:paraId="7E6FFD6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295977A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84FA7F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52EBA3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The Furniture and Furnishings (Fire) (Safety) Regulations 1988 apply to all self-catering properties: holiday homeowners must ensure that furniture supplied in the property is safe.  Boshers Ltd have a useful blog post on </w:t>
            </w:r>
            <w:hyperlink r:id="rId9" w:tgtFrame="_blank" w:history="1">
              <w:r w:rsidRPr="00DA078A">
                <w:rPr>
                  <w:rStyle w:val="Hyperlink"/>
                  <w:rFonts w:asciiTheme="minorHAnsi" w:hAnsiTheme="minorHAnsi" w:cstheme="minorHAnsi"/>
                  <w:color w:val="auto"/>
                  <w:sz w:val="20"/>
                  <w:szCs w:val="20"/>
                </w:rPr>
                <w:t>Fire Safety of Furniture and Furnishings in your Holiday Home</w:t>
              </w:r>
            </w:hyperlink>
            <w:r w:rsidRPr="00DA078A">
              <w:rPr>
                <w:rFonts w:asciiTheme="minorHAnsi" w:hAnsiTheme="minorHAnsi" w:cstheme="minorHAnsi"/>
                <w:sz w:val="20"/>
                <w:szCs w:val="20"/>
              </w:rPr>
              <w:t>.</w:t>
            </w:r>
          </w:p>
          <w:p w14:paraId="34E54C8B" w14:textId="77777777" w:rsidR="00F007EC" w:rsidRPr="00DA078A" w:rsidRDefault="00F007EC" w:rsidP="002C1BF9">
            <w:pPr>
              <w:rPr>
                <w:rFonts w:asciiTheme="minorHAnsi" w:hAnsiTheme="minorHAnsi" w:cstheme="minorHAnsi"/>
                <w:sz w:val="20"/>
                <w:szCs w:val="20"/>
              </w:rPr>
            </w:pPr>
          </w:p>
        </w:tc>
      </w:tr>
      <w:tr w:rsidR="00F007EC" w:rsidRPr="005C3CB3" w14:paraId="71BB0DCF" w14:textId="77777777" w:rsidTr="005C3CB3">
        <w:tc>
          <w:tcPr>
            <w:tcW w:w="1441" w:type="dxa"/>
          </w:tcPr>
          <w:p w14:paraId="793ACED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Covid-19 Cleaning Guidelines</w:t>
            </w:r>
          </w:p>
        </w:tc>
        <w:tc>
          <w:tcPr>
            <w:tcW w:w="1073" w:type="dxa"/>
          </w:tcPr>
          <w:p w14:paraId="601DE29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58BE9C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1393F5A6"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2E43951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Self-Catering and B&amp;B accommodation have protocols in place to ensure hygiene and minimise risk</w:t>
            </w:r>
            <w:r w:rsidRPr="00DA078A">
              <w:rPr>
                <w:rStyle w:val="FootnoteReference"/>
                <w:rFonts w:asciiTheme="minorHAnsi" w:hAnsiTheme="minorHAnsi" w:cstheme="minorHAnsi"/>
                <w:sz w:val="20"/>
                <w:szCs w:val="20"/>
              </w:rPr>
              <w:footnoteReference w:id="10"/>
            </w:r>
            <w:r w:rsidRPr="00DA078A">
              <w:rPr>
                <w:rFonts w:asciiTheme="minorHAnsi" w:hAnsiTheme="minorHAnsi" w:cstheme="minorHAnsi"/>
                <w:sz w:val="20"/>
                <w:szCs w:val="20"/>
              </w:rPr>
              <w:t xml:space="preserve">, endorsed by the Scottish Government. </w:t>
            </w:r>
          </w:p>
        </w:tc>
      </w:tr>
      <w:tr w:rsidR="00F007EC" w:rsidRPr="005C3CB3" w14:paraId="1F4784BF" w14:textId="77777777" w:rsidTr="005C3CB3">
        <w:tc>
          <w:tcPr>
            <w:tcW w:w="1441" w:type="dxa"/>
          </w:tcPr>
          <w:p w14:paraId="300DAD7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Control of substances hazardous to health </w:t>
            </w:r>
          </w:p>
        </w:tc>
        <w:tc>
          <w:tcPr>
            <w:tcW w:w="1073" w:type="dxa"/>
          </w:tcPr>
          <w:p w14:paraId="17C4A46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6DE37B5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4AFF07A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4D660AC" w14:textId="77777777" w:rsidR="00F007EC" w:rsidRPr="00DA078A" w:rsidRDefault="00F007EC" w:rsidP="002C1BF9">
            <w:pPr>
              <w:rPr>
                <w:rFonts w:asciiTheme="minorHAnsi" w:eastAsiaTheme="minorEastAsia" w:hAnsiTheme="minorHAnsi" w:cstheme="minorHAnsi"/>
                <w:sz w:val="20"/>
                <w:szCs w:val="20"/>
                <w:lang w:eastAsia="en-GB"/>
              </w:rPr>
            </w:pPr>
            <w:r w:rsidRPr="00DA078A">
              <w:rPr>
                <w:rFonts w:asciiTheme="minorHAnsi" w:hAnsiTheme="minorHAnsi" w:cstheme="minorHAnsi"/>
                <w:sz w:val="20"/>
                <w:szCs w:val="20"/>
              </w:rPr>
              <w:t>If you provide cleaning products such as bleach and oven-cleaner in the house, or store chemicals for the swimming pool or hot tub on site, it’s good practice to complete a </w:t>
            </w:r>
            <w:hyperlink r:id="rId10" w:history="1">
              <w:r w:rsidRPr="00DA078A">
                <w:rPr>
                  <w:rStyle w:val="Hyperlink"/>
                  <w:rFonts w:asciiTheme="minorHAnsi" w:hAnsiTheme="minorHAnsi" w:cstheme="minorHAnsi"/>
                  <w:color w:val="auto"/>
                  <w:sz w:val="20"/>
                  <w:szCs w:val="20"/>
                </w:rPr>
                <w:t>COSHH</w:t>
              </w:r>
            </w:hyperlink>
            <w:r w:rsidRPr="00DA078A">
              <w:rPr>
                <w:rFonts w:asciiTheme="minorHAnsi" w:hAnsiTheme="minorHAnsi" w:cstheme="minorHAnsi"/>
                <w:sz w:val="20"/>
                <w:szCs w:val="20"/>
              </w:rPr>
              <w:t> (Control of Substances Hazardous to Health) assessment.</w:t>
            </w:r>
            <w:r w:rsidRPr="00DA078A">
              <w:rPr>
                <w:rFonts w:asciiTheme="minorHAnsi" w:eastAsiaTheme="minorEastAsia" w:hAnsiTheme="minorHAnsi" w:cstheme="minorHAnsi"/>
                <w:sz w:val="20"/>
                <w:szCs w:val="20"/>
                <w:lang w:eastAsia="en-GB"/>
              </w:rPr>
              <w:t xml:space="preserve"> </w:t>
            </w:r>
          </w:p>
        </w:tc>
      </w:tr>
      <w:tr w:rsidR="00F007EC" w:rsidRPr="005C3CB3" w14:paraId="6D3FB381" w14:textId="77777777" w:rsidTr="005C3CB3">
        <w:tc>
          <w:tcPr>
            <w:tcW w:w="1441" w:type="dxa"/>
          </w:tcPr>
          <w:p w14:paraId="15BC5A3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Certification and Assessment Schemes </w:t>
            </w:r>
          </w:p>
        </w:tc>
        <w:tc>
          <w:tcPr>
            <w:tcW w:w="1073" w:type="dxa"/>
          </w:tcPr>
          <w:p w14:paraId="75DCFC9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39D3112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71471A4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FC9013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There are Quality Assurance schemes that operators can sign up to, such as Quality in Tourism, (Safe, Clean and Legal scheme)</w:t>
            </w:r>
            <w:r w:rsidRPr="00DA078A">
              <w:rPr>
                <w:rFonts w:asciiTheme="minorHAnsi" w:hAnsiTheme="minorHAnsi" w:cstheme="minorHAnsi"/>
                <w:sz w:val="20"/>
                <w:szCs w:val="20"/>
              </w:rPr>
              <w:footnoteReference w:id="11"/>
            </w:r>
            <w:r w:rsidRPr="00DA078A">
              <w:rPr>
                <w:rFonts w:asciiTheme="minorHAnsi" w:hAnsiTheme="minorHAnsi" w:cstheme="minorHAnsi"/>
                <w:sz w:val="20"/>
                <w:szCs w:val="20"/>
              </w:rPr>
              <w:t xml:space="preserve">. ASSC recommends that members sign up to this scheme to ensure compliance. </w:t>
            </w:r>
          </w:p>
        </w:tc>
      </w:tr>
      <w:tr w:rsidR="00F007EC" w:rsidRPr="005C3CB3" w14:paraId="5F4430FE" w14:textId="77777777" w:rsidTr="005C3CB3">
        <w:tc>
          <w:tcPr>
            <w:tcW w:w="1441" w:type="dxa"/>
          </w:tcPr>
          <w:p w14:paraId="3FD63B9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Accessibility and non-discrimination </w:t>
            </w:r>
          </w:p>
        </w:tc>
        <w:tc>
          <w:tcPr>
            <w:tcW w:w="1073" w:type="dxa"/>
          </w:tcPr>
          <w:p w14:paraId="18BA220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 xml:space="preserve">L </w:t>
            </w:r>
          </w:p>
        </w:tc>
        <w:tc>
          <w:tcPr>
            <w:tcW w:w="1094" w:type="dxa"/>
          </w:tcPr>
          <w:p w14:paraId="37B7084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3C67BEB"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708CA934" w14:textId="77777777" w:rsidR="00F007EC" w:rsidRPr="00DA078A" w:rsidRDefault="00F007EC" w:rsidP="002C1BF9">
            <w:pPr>
              <w:outlineLvl w:val="0"/>
              <w:rPr>
                <w:rFonts w:asciiTheme="minorHAnsi" w:hAnsiTheme="minorHAnsi" w:cstheme="minorHAnsi"/>
                <w:sz w:val="20"/>
                <w:szCs w:val="20"/>
              </w:rPr>
            </w:pPr>
            <w:r w:rsidRPr="00DA078A">
              <w:rPr>
                <w:rFonts w:asciiTheme="minorHAnsi" w:hAnsiTheme="minorHAnsi" w:cstheme="minorHAnsi"/>
                <w:bCs/>
                <w:sz w:val="20"/>
                <w:szCs w:val="20"/>
              </w:rPr>
              <w:t xml:space="preserve">These requirements apply under the Equality Act 2010 (for example, this requires businesses to accept any lawful enquiry that can pay) </w:t>
            </w:r>
          </w:p>
        </w:tc>
      </w:tr>
      <w:tr w:rsidR="00F007EC" w:rsidRPr="005C3CB3" w14:paraId="1C7CB2D0" w14:textId="77777777" w:rsidTr="005C3CB3">
        <w:tc>
          <w:tcPr>
            <w:tcW w:w="1441" w:type="dxa"/>
          </w:tcPr>
          <w:p w14:paraId="561858EA" w14:textId="77777777" w:rsidR="00F007EC" w:rsidRPr="00DA078A" w:rsidRDefault="00F007EC" w:rsidP="002C1BF9">
            <w:pPr>
              <w:outlineLvl w:val="0"/>
              <w:rPr>
                <w:rFonts w:asciiTheme="minorHAnsi" w:hAnsiTheme="minorHAnsi" w:cstheme="minorHAnsi"/>
                <w:sz w:val="20"/>
                <w:szCs w:val="20"/>
              </w:rPr>
            </w:pPr>
            <w:r w:rsidRPr="00DA078A">
              <w:rPr>
                <w:rFonts w:asciiTheme="minorHAnsi" w:hAnsiTheme="minorHAnsi" w:cstheme="minorHAnsi"/>
                <w:sz w:val="20"/>
                <w:szCs w:val="20"/>
              </w:rPr>
              <w:t>Code of Conduct for Short-Term Letting Operators and/or their Agents</w:t>
            </w:r>
          </w:p>
          <w:p w14:paraId="7F17DE46" w14:textId="77777777" w:rsidR="00F007EC" w:rsidRPr="00DA078A" w:rsidRDefault="00F007EC" w:rsidP="002C1BF9">
            <w:pPr>
              <w:rPr>
                <w:rFonts w:asciiTheme="minorHAnsi" w:hAnsiTheme="minorHAnsi" w:cstheme="minorHAnsi"/>
                <w:sz w:val="20"/>
                <w:szCs w:val="20"/>
              </w:rPr>
            </w:pPr>
          </w:p>
        </w:tc>
        <w:tc>
          <w:tcPr>
            <w:tcW w:w="1073" w:type="dxa"/>
          </w:tcPr>
          <w:p w14:paraId="51B7186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82FA2F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568CF55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78ACE93D"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The ASSC Code of Conduct</w:t>
            </w:r>
            <w:r w:rsidRPr="00DA078A">
              <w:rPr>
                <w:rStyle w:val="FootnoteReference"/>
                <w:rFonts w:asciiTheme="minorHAnsi" w:hAnsiTheme="minorHAnsi" w:cstheme="minorHAnsi"/>
                <w:sz w:val="20"/>
                <w:szCs w:val="20"/>
              </w:rPr>
              <w:footnoteReference w:id="12"/>
            </w:r>
            <w:r w:rsidRPr="00DA078A">
              <w:rPr>
                <w:rFonts w:asciiTheme="minorHAnsi" w:hAnsiTheme="minorHAnsi" w:cstheme="minorHAnsi"/>
                <w:sz w:val="20"/>
                <w:szCs w:val="20"/>
              </w:rPr>
              <w:t xml:space="preserve"> was developed alongside the Scottish Government Expert Panel on the Collaborative Economy. It comes with a Policy Recommendation Paper, which sets out how the vital self-catering sector in Scotland can be improved for customers, hosts, and all others involved.</w:t>
            </w:r>
            <w:r w:rsidRPr="00DA078A">
              <w:rPr>
                <w:rStyle w:val="apple-converted-space"/>
                <w:rFonts w:asciiTheme="minorHAnsi" w:hAnsiTheme="minorHAnsi" w:cstheme="minorHAnsi"/>
                <w:sz w:val="20"/>
                <w:szCs w:val="20"/>
              </w:rPr>
              <w:t xml:space="preserve">  Members of the </w:t>
            </w:r>
            <w:r w:rsidRPr="00DA078A">
              <w:rPr>
                <w:rFonts w:asciiTheme="minorHAnsi" w:hAnsiTheme="minorHAnsi" w:cstheme="minorHAnsi"/>
                <w:sz w:val="20"/>
                <w:szCs w:val="20"/>
              </w:rPr>
              <w:t>Short-Term Accommodation Association (STAA) also sign up to an equivalent Code of Conduct</w:t>
            </w:r>
            <w:r w:rsidRPr="00DA078A">
              <w:rPr>
                <w:rStyle w:val="FootnoteReference"/>
                <w:rFonts w:asciiTheme="minorHAnsi" w:hAnsiTheme="minorHAnsi" w:cstheme="minorHAnsi"/>
                <w:sz w:val="20"/>
                <w:szCs w:val="20"/>
              </w:rPr>
              <w:footnoteReference w:id="13"/>
            </w:r>
            <w:r w:rsidRPr="00DA078A">
              <w:rPr>
                <w:rFonts w:asciiTheme="minorHAnsi" w:hAnsiTheme="minorHAnsi" w:cstheme="minorHAnsi"/>
                <w:sz w:val="20"/>
                <w:szCs w:val="20"/>
              </w:rPr>
              <w:t xml:space="preserve">. These members include online platforms. </w:t>
            </w:r>
          </w:p>
        </w:tc>
      </w:tr>
      <w:tr w:rsidR="00F007EC" w:rsidRPr="005C3CB3" w14:paraId="07CD423B" w14:textId="77777777" w:rsidTr="005C3CB3">
        <w:trPr>
          <w:trHeight w:val="1181"/>
        </w:trPr>
        <w:tc>
          <w:tcPr>
            <w:tcW w:w="1441" w:type="dxa"/>
          </w:tcPr>
          <w:p w14:paraId="76E48D8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Energy Performance Certificate (EPC-12)</w:t>
            </w:r>
          </w:p>
        </w:tc>
        <w:tc>
          <w:tcPr>
            <w:tcW w:w="1073" w:type="dxa"/>
          </w:tcPr>
          <w:p w14:paraId="39168E8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1675951"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4DA44B3"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248A83C9" w14:textId="77777777" w:rsidR="00F007EC" w:rsidRPr="00DA078A" w:rsidRDefault="00F007EC" w:rsidP="002C1BF9">
            <w:pPr>
              <w:pStyle w:val="NormalWeb"/>
              <w:spacing w:before="0" w:beforeAutospacing="0" w:after="420" w:afterAutospacing="0"/>
              <w:rPr>
                <w:rFonts w:asciiTheme="minorHAnsi" w:hAnsiTheme="minorHAnsi" w:cstheme="minorHAnsi"/>
                <w:sz w:val="20"/>
                <w:szCs w:val="20"/>
              </w:rPr>
            </w:pPr>
            <w:r w:rsidRPr="00DA078A">
              <w:rPr>
                <w:rFonts w:asciiTheme="minorHAnsi" w:hAnsiTheme="minorHAnsi" w:cstheme="minorHAnsi"/>
                <w:sz w:val="20"/>
                <w:szCs w:val="20"/>
              </w:rPr>
              <w:t>Self-catering properties must have an EPC</w:t>
            </w:r>
            <w:r w:rsidRPr="00DA078A">
              <w:rPr>
                <w:rStyle w:val="FootnoteReference"/>
                <w:rFonts w:asciiTheme="minorHAnsi" w:hAnsiTheme="minorHAnsi" w:cstheme="minorHAnsi"/>
                <w:sz w:val="20"/>
                <w:szCs w:val="20"/>
              </w:rPr>
              <w:footnoteReference w:id="14"/>
            </w:r>
            <w:r w:rsidRPr="00DA078A">
              <w:rPr>
                <w:rFonts w:asciiTheme="minorHAnsi" w:hAnsiTheme="minorHAnsi" w:cstheme="minorHAnsi"/>
                <w:sz w:val="20"/>
                <w:szCs w:val="20"/>
              </w:rPr>
              <w:t>. An EPC is not required where only a room within a building (such as a B&amp;B.</w:t>
            </w:r>
          </w:p>
          <w:p w14:paraId="70EE7A0D" w14:textId="77777777" w:rsidR="00F007EC" w:rsidRPr="00DA078A" w:rsidRDefault="00F007EC" w:rsidP="002C1BF9">
            <w:pPr>
              <w:pStyle w:val="NormalWeb"/>
              <w:rPr>
                <w:rFonts w:asciiTheme="minorHAnsi" w:hAnsiTheme="minorHAnsi" w:cstheme="minorHAnsi"/>
                <w:sz w:val="20"/>
                <w:szCs w:val="20"/>
              </w:rPr>
            </w:pPr>
          </w:p>
        </w:tc>
      </w:tr>
      <w:tr w:rsidR="00F007EC" w:rsidRPr="005C3CB3" w14:paraId="5B7B90CF" w14:textId="77777777" w:rsidTr="005C3CB3">
        <w:tc>
          <w:tcPr>
            <w:tcW w:w="1441" w:type="dxa"/>
          </w:tcPr>
          <w:p w14:paraId="68728E7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Repairing Standard</w:t>
            </w:r>
          </w:p>
        </w:tc>
        <w:tc>
          <w:tcPr>
            <w:tcW w:w="1073" w:type="dxa"/>
          </w:tcPr>
          <w:p w14:paraId="0DD19FC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DEADED2"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794" w:type="dxa"/>
          </w:tcPr>
          <w:p w14:paraId="7672F61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3583F27"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The Housing (Scotland) Act 2006 (Modification of the Repairing Standard) Regulations 2019: holiday lets were formally exempted from this legislation, after much discussion with the Scottish Government. B&amp;Bs are also exempt.</w:t>
            </w:r>
          </w:p>
        </w:tc>
      </w:tr>
      <w:tr w:rsidR="00F007EC" w:rsidRPr="005C3CB3" w14:paraId="19762CCB" w14:textId="77777777" w:rsidTr="005C3CB3">
        <w:tc>
          <w:tcPr>
            <w:tcW w:w="1441" w:type="dxa"/>
          </w:tcPr>
          <w:p w14:paraId="2E6F46A4"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Private Water Supplies</w:t>
            </w:r>
          </w:p>
        </w:tc>
        <w:tc>
          <w:tcPr>
            <w:tcW w:w="1073" w:type="dxa"/>
          </w:tcPr>
          <w:p w14:paraId="7DF5DB9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5BF52948"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673DA6A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32FBD18"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 xml:space="preserve">Private Water Supplies (Regulations) 2006: You must notify Environmental Health when letting a property on a self-catering basis so that they can test the water to check that it is safe for guests. You must display the Drinking Water Supply Important Information Poster which can be obtained from your local Environmental Health office. You must provide details of the supply in publicity information or correspondence which is accurate and does not mislead guests. </w:t>
            </w:r>
          </w:p>
        </w:tc>
      </w:tr>
      <w:tr w:rsidR="00F007EC" w:rsidRPr="005C3CB3" w14:paraId="553F4063" w14:textId="77777777" w:rsidTr="005C3CB3">
        <w:tc>
          <w:tcPr>
            <w:tcW w:w="1441" w:type="dxa"/>
          </w:tcPr>
          <w:p w14:paraId="65A130E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Insurance</w:t>
            </w:r>
          </w:p>
        </w:tc>
        <w:tc>
          <w:tcPr>
            <w:tcW w:w="1073" w:type="dxa"/>
          </w:tcPr>
          <w:p w14:paraId="73DCE60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G</w:t>
            </w:r>
          </w:p>
        </w:tc>
        <w:tc>
          <w:tcPr>
            <w:tcW w:w="1094" w:type="dxa"/>
          </w:tcPr>
          <w:p w14:paraId="7C708C0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04B8D67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4949" w:type="dxa"/>
          </w:tcPr>
          <w:p w14:paraId="420858B0" w14:textId="77777777" w:rsidR="00F007EC" w:rsidRPr="00DA078A" w:rsidRDefault="00F007EC" w:rsidP="002C1BF9">
            <w:pPr>
              <w:pStyle w:val="NormalWeb"/>
              <w:spacing w:before="0" w:beforeAutospacing="0" w:after="0" w:afterAutospacing="0"/>
              <w:rPr>
                <w:rFonts w:asciiTheme="minorHAnsi" w:hAnsiTheme="minorHAnsi" w:cstheme="minorHAnsi"/>
                <w:sz w:val="20"/>
                <w:szCs w:val="20"/>
              </w:rPr>
            </w:pPr>
            <w:r w:rsidRPr="00DA078A">
              <w:rPr>
                <w:rFonts w:asciiTheme="minorHAnsi" w:hAnsiTheme="minorHAnsi" w:cstheme="minorHAnsi"/>
                <w:sz w:val="20"/>
                <w:szCs w:val="20"/>
              </w:rPr>
              <w:t>Holiday let insurance is specialist insurance that covers holiday homes that are let to paying guests as well as friends and family on a short-term basis. Policies typically cover public liability, accidental damage, loss of rent as well as periods when the property is unoccupied. A standard home insurance policy is not sufficient to cover a holiday let.</w:t>
            </w:r>
          </w:p>
        </w:tc>
      </w:tr>
      <w:tr w:rsidR="00F007EC" w:rsidRPr="005C3CB3" w14:paraId="76E85CD6" w14:textId="77777777" w:rsidTr="005C3CB3">
        <w:trPr>
          <w:trHeight w:val="90"/>
        </w:trPr>
        <w:tc>
          <w:tcPr>
            <w:tcW w:w="1441" w:type="dxa"/>
          </w:tcPr>
          <w:p w14:paraId="7695F7B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Anti-social Behaviour</w:t>
            </w:r>
          </w:p>
        </w:tc>
        <w:tc>
          <w:tcPr>
            <w:tcW w:w="1073" w:type="dxa"/>
          </w:tcPr>
          <w:p w14:paraId="724E35CC"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w:t>
            </w:r>
          </w:p>
        </w:tc>
        <w:tc>
          <w:tcPr>
            <w:tcW w:w="1094" w:type="dxa"/>
          </w:tcPr>
          <w:p w14:paraId="3D72C40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Y</w:t>
            </w:r>
          </w:p>
        </w:tc>
        <w:tc>
          <w:tcPr>
            <w:tcW w:w="794" w:type="dxa"/>
          </w:tcPr>
          <w:p w14:paraId="76D71030"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N</w:t>
            </w:r>
          </w:p>
        </w:tc>
        <w:tc>
          <w:tcPr>
            <w:tcW w:w="4949" w:type="dxa"/>
          </w:tcPr>
          <w:p w14:paraId="339504DD" w14:textId="77777777" w:rsidR="00F007EC" w:rsidRPr="00DA078A" w:rsidRDefault="00F007EC" w:rsidP="002C1BF9">
            <w:pPr>
              <w:pStyle w:val="NormalWeb"/>
              <w:rPr>
                <w:rFonts w:asciiTheme="minorHAnsi" w:hAnsiTheme="minorHAnsi" w:cstheme="minorHAnsi"/>
                <w:sz w:val="20"/>
                <w:szCs w:val="20"/>
              </w:rPr>
            </w:pPr>
            <w:r w:rsidRPr="00DA078A">
              <w:rPr>
                <w:rFonts w:asciiTheme="minorHAnsi" w:hAnsiTheme="minorHAnsi" w:cstheme="minorHAnsi"/>
                <w:sz w:val="20"/>
                <w:szCs w:val="20"/>
              </w:rPr>
              <w:t xml:space="preserve">Existing powers are available to local authorities. This includes Part 7 of the Antisocial Behaviour etc. (Scotland) Act 2004. The Scottish Government introduced the Antisocial Behaviour Notices (Houses Used for Holiday Purposes) (Scotland) Order 2011 that granted local authorities the power to deal specifically with the problem of antisocial behaviour in properties let for holiday use. </w:t>
            </w:r>
          </w:p>
        </w:tc>
      </w:tr>
      <w:tr w:rsidR="00F007EC" w:rsidRPr="005C3CB3" w14:paraId="54B4261A" w14:textId="77777777" w:rsidTr="005C3CB3">
        <w:trPr>
          <w:trHeight w:val="90"/>
        </w:trPr>
        <w:tc>
          <w:tcPr>
            <w:tcW w:w="1441" w:type="dxa"/>
          </w:tcPr>
          <w:p w14:paraId="4B3E73AE"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PPL PRS</w:t>
            </w:r>
            <w:r w:rsidRPr="00DA078A">
              <w:rPr>
                <w:rStyle w:val="FootnoteReference"/>
                <w:rFonts w:asciiTheme="minorHAnsi" w:hAnsiTheme="minorHAnsi" w:cstheme="minorHAnsi"/>
                <w:sz w:val="20"/>
                <w:szCs w:val="20"/>
              </w:rPr>
              <w:footnoteReference w:id="15"/>
            </w:r>
          </w:p>
        </w:tc>
        <w:tc>
          <w:tcPr>
            <w:tcW w:w="1073" w:type="dxa"/>
          </w:tcPr>
          <w:p w14:paraId="35E8B074" w14:textId="77777777" w:rsidR="00F007EC" w:rsidRPr="00DA078A" w:rsidRDefault="00F007EC" w:rsidP="002C1BF9">
            <w:pPr>
              <w:rPr>
                <w:rFonts w:asciiTheme="minorHAnsi" w:hAnsiTheme="minorHAnsi" w:cstheme="minorHAnsi"/>
                <w:sz w:val="20"/>
                <w:szCs w:val="20"/>
              </w:rPr>
            </w:pPr>
          </w:p>
        </w:tc>
        <w:tc>
          <w:tcPr>
            <w:tcW w:w="1094" w:type="dxa"/>
          </w:tcPr>
          <w:p w14:paraId="3AC62E9A" w14:textId="77777777" w:rsidR="00F007EC" w:rsidRPr="00DA078A" w:rsidRDefault="00F007EC" w:rsidP="002C1BF9">
            <w:pPr>
              <w:rPr>
                <w:rFonts w:asciiTheme="minorHAnsi" w:hAnsiTheme="minorHAnsi" w:cstheme="minorHAnsi"/>
                <w:sz w:val="20"/>
                <w:szCs w:val="20"/>
              </w:rPr>
            </w:pPr>
          </w:p>
        </w:tc>
        <w:tc>
          <w:tcPr>
            <w:tcW w:w="794" w:type="dxa"/>
          </w:tcPr>
          <w:p w14:paraId="5FF6A954" w14:textId="77777777" w:rsidR="00F007EC" w:rsidRPr="00DA078A" w:rsidRDefault="00F007EC" w:rsidP="002C1BF9">
            <w:pPr>
              <w:rPr>
                <w:rFonts w:asciiTheme="minorHAnsi" w:hAnsiTheme="minorHAnsi" w:cstheme="minorHAnsi"/>
                <w:sz w:val="20"/>
                <w:szCs w:val="20"/>
              </w:rPr>
            </w:pPr>
          </w:p>
        </w:tc>
        <w:tc>
          <w:tcPr>
            <w:tcW w:w="4949" w:type="dxa"/>
          </w:tcPr>
          <w:p w14:paraId="14CADE20" w14:textId="77777777" w:rsidR="00F007EC" w:rsidRPr="00DA078A" w:rsidRDefault="00F007EC" w:rsidP="002C1BF9">
            <w:pPr>
              <w:pStyle w:val="NoSpacing"/>
              <w:rPr>
                <w:rFonts w:cstheme="minorHAnsi"/>
                <w:sz w:val="20"/>
                <w:szCs w:val="20"/>
              </w:rPr>
            </w:pPr>
            <w:r w:rsidRPr="00DA078A">
              <w:rPr>
                <w:rFonts w:cstheme="minorHAnsi"/>
                <w:sz w:val="20"/>
                <w:szCs w:val="20"/>
              </w:rPr>
              <w:t>Under the Copyright, Designs and Patents Act 1988, permission is needed from the relevant copyright holders – those who create, record and publish music – in order to play or perform music in public.</w:t>
            </w:r>
          </w:p>
          <w:p w14:paraId="45B82699" w14:textId="77777777" w:rsidR="00F007EC" w:rsidRPr="00DA078A" w:rsidRDefault="00F007EC" w:rsidP="002C1BF9">
            <w:pPr>
              <w:pStyle w:val="NoSpacing"/>
              <w:rPr>
                <w:rFonts w:cstheme="minorHAnsi"/>
                <w:sz w:val="20"/>
                <w:szCs w:val="20"/>
              </w:rPr>
            </w:pPr>
          </w:p>
          <w:p w14:paraId="44ADA588" w14:textId="77777777" w:rsidR="00F007EC" w:rsidRPr="00DA078A" w:rsidRDefault="00F007EC" w:rsidP="002C1BF9">
            <w:pPr>
              <w:pStyle w:val="NoSpacing"/>
              <w:rPr>
                <w:rFonts w:cstheme="minorHAnsi"/>
                <w:sz w:val="20"/>
                <w:szCs w:val="20"/>
              </w:rPr>
            </w:pPr>
            <w:r w:rsidRPr="00DA078A">
              <w:rPr>
                <w:rFonts w:cstheme="minorHAnsi"/>
                <w:sz w:val="20"/>
                <w:szCs w:val="20"/>
              </w:rPr>
              <w:t>Broadly speaking, this includes any presentation of music outside of a domestic setting. For example, it will include using music in the following ways as part of your business or organisation (for the benefit of customers and/or employees): playing recorded music via any device, including the radio; TV broadcasts, or other audio-visual content, containing music; or putting on live performances of music.</w:t>
            </w:r>
          </w:p>
        </w:tc>
      </w:tr>
      <w:tr w:rsidR="00F007EC" w:rsidRPr="005C3CB3" w14:paraId="1973FDBC" w14:textId="77777777" w:rsidTr="005C3CB3">
        <w:trPr>
          <w:trHeight w:val="90"/>
        </w:trPr>
        <w:tc>
          <w:tcPr>
            <w:tcW w:w="1441" w:type="dxa"/>
          </w:tcPr>
          <w:p w14:paraId="1E26892A"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MPLC</w:t>
            </w:r>
            <w:r w:rsidRPr="00DA078A">
              <w:rPr>
                <w:rStyle w:val="FootnoteReference"/>
                <w:rFonts w:asciiTheme="minorHAnsi" w:hAnsiTheme="minorHAnsi" w:cstheme="minorHAnsi"/>
                <w:sz w:val="20"/>
                <w:szCs w:val="20"/>
              </w:rPr>
              <w:footnoteReference w:id="16"/>
            </w:r>
          </w:p>
        </w:tc>
        <w:tc>
          <w:tcPr>
            <w:tcW w:w="1073" w:type="dxa"/>
          </w:tcPr>
          <w:p w14:paraId="4768E24E" w14:textId="77777777" w:rsidR="00F007EC" w:rsidRPr="00DA078A" w:rsidRDefault="00F007EC" w:rsidP="002C1BF9">
            <w:pPr>
              <w:rPr>
                <w:rFonts w:asciiTheme="minorHAnsi" w:hAnsiTheme="minorHAnsi" w:cstheme="minorHAnsi"/>
                <w:sz w:val="20"/>
                <w:szCs w:val="20"/>
              </w:rPr>
            </w:pPr>
          </w:p>
        </w:tc>
        <w:tc>
          <w:tcPr>
            <w:tcW w:w="1094" w:type="dxa"/>
          </w:tcPr>
          <w:p w14:paraId="1DBEA035" w14:textId="77777777" w:rsidR="00F007EC" w:rsidRPr="00DA078A" w:rsidRDefault="00F007EC" w:rsidP="002C1BF9">
            <w:pPr>
              <w:rPr>
                <w:rFonts w:asciiTheme="minorHAnsi" w:hAnsiTheme="minorHAnsi" w:cstheme="minorHAnsi"/>
                <w:sz w:val="20"/>
                <w:szCs w:val="20"/>
              </w:rPr>
            </w:pPr>
          </w:p>
        </w:tc>
        <w:tc>
          <w:tcPr>
            <w:tcW w:w="794" w:type="dxa"/>
          </w:tcPr>
          <w:p w14:paraId="3514CAE0" w14:textId="77777777" w:rsidR="00F007EC" w:rsidRPr="00DA078A" w:rsidRDefault="00F007EC" w:rsidP="002C1BF9">
            <w:pPr>
              <w:rPr>
                <w:rFonts w:asciiTheme="minorHAnsi" w:hAnsiTheme="minorHAnsi" w:cstheme="minorHAnsi"/>
                <w:sz w:val="20"/>
                <w:szCs w:val="20"/>
              </w:rPr>
            </w:pPr>
          </w:p>
        </w:tc>
        <w:tc>
          <w:tcPr>
            <w:tcW w:w="4949" w:type="dxa"/>
          </w:tcPr>
          <w:p w14:paraId="79B7C0FF"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bCs/>
                <w:sz w:val="20"/>
                <w:szCs w:val="20"/>
              </w:rPr>
              <w:t>A licence is required regardless of whether an admission fee</w:t>
            </w:r>
            <w:r w:rsidRPr="00DA078A">
              <w:rPr>
                <w:rStyle w:val="apple-converted-space"/>
                <w:rFonts w:asciiTheme="minorHAnsi" w:hAnsiTheme="minorHAnsi" w:cstheme="minorHAnsi"/>
                <w:sz w:val="20"/>
                <w:szCs w:val="20"/>
                <w:shd w:val="clear" w:color="auto" w:fill="FFFFFF"/>
              </w:rPr>
              <w:t> </w:t>
            </w:r>
            <w:r w:rsidRPr="00DA078A">
              <w:rPr>
                <w:rFonts w:asciiTheme="minorHAnsi" w:hAnsiTheme="minorHAnsi" w:cstheme="minorHAnsi"/>
                <w:sz w:val="20"/>
                <w:szCs w:val="20"/>
                <w:shd w:val="clear" w:color="auto" w:fill="FFFFFF"/>
              </w:rPr>
              <w:t>is charged.</w:t>
            </w:r>
          </w:p>
        </w:tc>
      </w:tr>
      <w:tr w:rsidR="00F007EC" w:rsidRPr="005C3CB3" w14:paraId="64898E3F" w14:textId="77777777" w:rsidTr="005C3CB3">
        <w:trPr>
          <w:trHeight w:val="90"/>
        </w:trPr>
        <w:tc>
          <w:tcPr>
            <w:tcW w:w="1441" w:type="dxa"/>
          </w:tcPr>
          <w:p w14:paraId="11D9DBF5"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lastRenderedPageBreak/>
              <w:t>Maximum Occupancy</w:t>
            </w:r>
          </w:p>
        </w:tc>
        <w:tc>
          <w:tcPr>
            <w:tcW w:w="1073" w:type="dxa"/>
          </w:tcPr>
          <w:p w14:paraId="6DD8047E" w14:textId="77777777" w:rsidR="00F007EC" w:rsidRPr="00DA078A" w:rsidRDefault="00F007EC" w:rsidP="002C1BF9">
            <w:pPr>
              <w:rPr>
                <w:rFonts w:asciiTheme="minorHAnsi" w:hAnsiTheme="minorHAnsi" w:cstheme="minorHAnsi"/>
                <w:sz w:val="20"/>
                <w:szCs w:val="20"/>
              </w:rPr>
            </w:pPr>
          </w:p>
        </w:tc>
        <w:tc>
          <w:tcPr>
            <w:tcW w:w="1094" w:type="dxa"/>
          </w:tcPr>
          <w:p w14:paraId="13314259" w14:textId="77777777" w:rsidR="00F007EC" w:rsidRPr="00DA078A" w:rsidRDefault="00F007EC" w:rsidP="002C1BF9">
            <w:pPr>
              <w:rPr>
                <w:rFonts w:asciiTheme="minorHAnsi" w:hAnsiTheme="minorHAnsi" w:cstheme="minorHAnsi"/>
                <w:sz w:val="20"/>
                <w:szCs w:val="20"/>
              </w:rPr>
            </w:pPr>
          </w:p>
        </w:tc>
        <w:tc>
          <w:tcPr>
            <w:tcW w:w="794" w:type="dxa"/>
          </w:tcPr>
          <w:p w14:paraId="63CB0B73" w14:textId="77777777" w:rsidR="00F007EC" w:rsidRPr="00DA078A" w:rsidRDefault="00F007EC" w:rsidP="002C1BF9">
            <w:pPr>
              <w:rPr>
                <w:rFonts w:asciiTheme="minorHAnsi" w:hAnsiTheme="minorHAnsi" w:cstheme="minorHAnsi"/>
                <w:sz w:val="20"/>
                <w:szCs w:val="20"/>
              </w:rPr>
            </w:pPr>
          </w:p>
        </w:tc>
        <w:tc>
          <w:tcPr>
            <w:tcW w:w="4949" w:type="dxa"/>
          </w:tcPr>
          <w:p w14:paraId="7F8320AD" w14:textId="77777777" w:rsidR="00F007EC" w:rsidRPr="00DA078A" w:rsidRDefault="00F007EC" w:rsidP="002C1BF9">
            <w:pPr>
              <w:rPr>
                <w:rFonts w:asciiTheme="minorHAnsi" w:hAnsiTheme="minorHAnsi" w:cstheme="minorHAnsi"/>
                <w:bCs/>
                <w:sz w:val="20"/>
                <w:szCs w:val="20"/>
              </w:rPr>
            </w:pPr>
            <w:r w:rsidRPr="00DA078A">
              <w:rPr>
                <w:rFonts w:asciiTheme="minorHAnsi" w:hAnsiTheme="minorHAnsi" w:cstheme="minorHAnsi"/>
                <w:bCs/>
                <w:sz w:val="20"/>
                <w:szCs w:val="20"/>
              </w:rPr>
              <w:t xml:space="preserve">Plans will have to be drawn up by an architect, with significant and unnecessary costs attached. </w:t>
            </w:r>
          </w:p>
        </w:tc>
      </w:tr>
      <w:tr w:rsidR="00F007EC" w:rsidRPr="005C3CB3" w14:paraId="5D4FA3E4" w14:textId="77777777" w:rsidTr="005C3CB3">
        <w:trPr>
          <w:trHeight w:val="90"/>
        </w:trPr>
        <w:tc>
          <w:tcPr>
            <w:tcW w:w="1441" w:type="dxa"/>
          </w:tcPr>
          <w:p w14:paraId="0C22FB67" w14:textId="77777777" w:rsidR="00F007EC" w:rsidRPr="00DA078A" w:rsidRDefault="00F007EC" w:rsidP="002C1BF9">
            <w:pPr>
              <w:rPr>
                <w:rFonts w:asciiTheme="minorHAnsi" w:hAnsiTheme="minorHAnsi" w:cstheme="minorHAnsi"/>
                <w:sz w:val="20"/>
                <w:szCs w:val="20"/>
              </w:rPr>
            </w:pPr>
            <w:r w:rsidRPr="00DA078A">
              <w:rPr>
                <w:rFonts w:asciiTheme="minorHAnsi" w:hAnsiTheme="minorHAnsi" w:cstheme="minorHAnsi"/>
                <w:sz w:val="20"/>
                <w:szCs w:val="20"/>
              </w:rPr>
              <w:t>Listings</w:t>
            </w:r>
          </w:p>
        </w:tc>
        <w:tc>
          <w:tcPr>
            <w:tcW w:w="1073" w:type="dxa"/>
          </w:tcPr>
          <w:p w14:paraId="35136334" w14:textId="77777777" w:rsidR="00F007EC" w:rsidRPr="00DA078A" w:rsidRDefault="00F007EC" w:rsidP="002C1BF9">
            <w:pPr>
              <w:rPr>
                <w:rFonts w:asciiTheme="minorHAnsi" w:hAnsiTheme="minorHAnsi" w:cstheme="minorHAnsi"/>
                <w:sz w:val="20"/>
                <w:szCs w:val="20"/>
              </w:rPr>
            </w:pPr>
          </w:p>
        </w:tc>
        <w:tc>
          <w:tcPr>
            <w:tcW w:w="1094" w:type="dxa"/>
          </w:tcPr>
          <w:p w14:paraId="43D191FD" w14:textId="77777777" w:rsidR="00F007EC" w:rsidRPr="00DA078A" w:rsidRDefault="00F007EC" w:rsidP="002C1BF9">
            <w:pPr>
              <w:rPr>
                <w:rFonts w:asciiTheme="minorHAnsi" w:hAnsiTheme="minorHAnsi" w:cstheme="minorHAnsi"/>
                <w:sz w:val="20"/>
                <w:szCs w:val="20"/>
              </w:rPr>
            </w:pPr>
          </w:p>
        </w:tc>
        <w:tc>
          <w:tcPr>
            <w:tcW w:w="794" w:type="dxa"/>
          </w:tcPr>
          <w:p w14:paraId="59DA776B" w14:textId="77777777" w:rsidR="00F007EC" w:rsidRPr="00DA078A" w:rsidRDefault="00F007EC" w:rsidP="002C1BF9">
            <w:pPr>
              <w:rPr>
                <w:rFonts w:asciiTheme="minorHAnsi" w:hAnsiTheme="minorHAnsi" w:cstheme="minorHAnsi"/>
                <w:sz w:val="20"/>
                <w:szCs w:val="20"/>
              </w:rPr>
            </w:pPr>
          </w:p>
        </w:tc>
        <w:tc>
          <w:tcPr>
            <w:tcW w:w="4949" w:type="dxa"/>
          </w:tcPr>
          <w:p w14:paraId="2D241BEA" w14:textId="77777777" w:rsidR="00F007EC" w:rsidRPr="00DA078A" w:rsidRDefault="00F007EC" w:rsidP="002C1BF9">
            <w:pPr>
              <w:rPr>
                <w:rFonts w:asciiTheme="minorHAnsi" w:hAnsiTheme="minorHAnsi" w:cstheme="minorHAnsi"/>
                <w:bCs/>
                <w:sz w:val="20"/>
                <w:szCs w:val="20"/>
              </w:rPr>
            </w:pPr>
            <w:r w:rsidRPr="00DA078A">
              <w:rPr>
                <w:rFonts w:asciiTheme="minorHAnsi" w:hAnsiTheme="minorHAnsi" w:cstheme="minorHAnsi"/>
                <w:bCs/>
                <w:sz w:val="20"/>
                <w:szCs w:val="20"/>
              </w:rPr>
              <w:t>Time</w:t>
            </w:r>
            <w:r w:rsidR="00B1416C">
              <w:rPr>
                <w:rFonts w:asciiTheme="minorHAnsi" w:hAnsiTheme="minorHAnsi" w:cstheme="minorHAnsi"/>
                <w:bCs/>
                <w:sz w:val="20"/>
                <w:szCs w:val="20"/>
              </w:rPr>
              <w:t xml:space="preserve"> will be required to keep listings updated.</w:t>
            </w:r>
          </w:p>
        </w:tc>
      </w:tr>
    </w:tbl>
    <w:p w14:paraId="7ABCF162" w14:textId="77777777" w:rsidR="0028642B" w:rsidRDefault="0028642B" w:rsidP="002C1BF9">
      <w:pPr>
        <w:rPr>
          <w:rFonts w:asciiTheme="minorHAnsi" w:hAnsiTheme="minorHAnsi" w:cstheme="minorHAnsi"/>
          <w:b/>
          <w:sz w:val="21"/>
          <w:szCs w:val="21"/>
          <w:u w:val="single"/>
        </w:rPr>
      </w:pPr>
    </w:p>
    <w:p w14:paraId="58FC9E42" w14:textId="77777777" w:rsidR="008231EB" w:rsidRDefault="008231EB">
      <w:pPr>
        <w:rPr>
          <w:rFonts w:asciiTheme="minorHAnsi" w:hAnsiTheme="minorHAnsi" w:cstheme="minorHAnsi"/>
          <w:b/>
          <w:sz w:val="21"/>
          <w:szCs w:val="21"/>
          <w:u w:val="single"/>
        </w:rPr>
      </w:pPr>
      <w:r>
        <w:rPr>
          <w:rFonts w:asciiTheme="minorHAnsi" w:hAnsiTheme="minorHAnsi" w:cstheme="minorHAnsi"/>
          <w:b/>
          <w:sz w:val="21"/>
          <w:szCs w:val="21"/>
          <w:u w:val="single"/>
        </w:rPr>
        <w:br w:type="page"/>
      </w:r>
    </w:p>
    <w:p w14:paraId="606378BC" w14:textId="2558C14E" w:rsidR="00033DD9" w:rsidRPr="005C3CB3" w:rsidRDefault="00A930A5" w:rsidP="002C1BF9">
      <w:pPr>
        <w:rPr>
          <w:rFonts w:asciiTheme="minorHAnsi" w:hAnsiTheme="minorHAnsi" w:cstheme="minorHAnsi"/>
          <w:b/>
          <w:sz w:val="21"/>
          <w:szCs w:val="21"/>
          <w:u w:val="single"/>
        </w:rPr>
      </w:pPr>
      <w:r w:rsidRPr="002C1BF9">
        <w:rPr>
          <w:rFonts w:asciiTheme="minorHAnsi" w:hAnsiTheme="minorHAnsi" w:cstheme="minorHAnsi"/>
          <w:b/>
          <w:sz w:val="21"/>
          <w:szCs w:val="21"/>
          <w:u w:val="single"/>
        </w:rPr>
        <w:lastRenderedPageBreak/>
        <w:t>ANNEX 3: COST OF COMPLIANCE</w:t>
      </w:r>
    </w:p>
    <w:p w14:paraId="631BBB22" w14:textId="77777777" w:rsidR="00033DD9" w:rsidRPr="005C3CB3" w:rsidRDefault="00033DD9" w:rsidP="002C1BF9">
      <w:pPr>
        <w:rPr>
          <w:rFonts w:asciiTheme="minorHAnsi" w:hAnsiTheme="minorHAnsi" w:cstheme="minorHAnsi"/>
          <w:sz w:val="21"/>
          <w:szCs w:val="21"/>
        </w:rPr>
      </w:pPr>
    </w:p>
    <w:p w14:paraId="39E6E457"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The updated Business and Regulatory Impact Assessment (BRIA) submitted by the Scottish Government as part of the 2020 Licensing Order Consultation was a distortion of the reality faced by the majority of small and micro STL operators in remote rural areas. </w:t>
      </w:r>
    </w:p>
    <w:p w14:paraId="69D2A10A"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The miscalculation of mandatory licence conditions compliance costs is seriously flawed as to be dishonest. The BRIA calculates the total of annually recurring and one-off compliance costs to be circa £963.00 in Year 1. The actual costs paid for a two-bedroom holiday let on Skye, for example, are £3420.00 with £1750.00 of that recurring on an annual basis. The Scottish Government have therefore underestimated the real costs by 72%. The implications that this then has for the affordability of additional licensing costs for the vast majority of micro-operators in the Highlands and Islands, with a turnover of under £20,000 a year, is hugely significant. </w:t>
      </w:r>
    </w:p>
    <w:p w14:paraId="5078E8C1" w14:textId="77777777" w:rsidR="00BE0078"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It is important to include the cost of administration associated with new licensing requirements. Hours must be recognised as a cost of compliance, and charged appropriately, at National Living Wage as a minimum.</w:t>
      </w:r>
    </w:p>
    <w:p w14:paraId="49861213" w14:textId="77777777" w:rsidR="00AF1E70" w:rsidRPr="002C1BF9" w:rsidRDefault="00033DD9"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 xml:space="preserve">Excluding these mandatory condition costs, efficient operators can expect to shoulder fixed costs, including part time cleaning, maintenance and garden contracts, laundry, cleaning materials and other consumables, heat, light, broadband, TV licensing and provision, and other sundries, for a two bedroomed property with an average rural area occupancy of 45%, as a minimum of 50% of takings. Take away the compliance costs and add an annualised license fee on top and the gross profit will be less than 25% of turnover, before tax and other fees. </w:t>
      </w:r>
    </w:p>
    <w:p w14:paraId="37703433" w14:textId="77777777" w:rsidR="00033DD9" w:rsidRPr="002C1BF9" w:rsidRDefault="00AF1E70" w:rsidP="008D55BC">
      <w:pPr>
        <w:pStyle w:val="ListParagraph"/>
        <w:numPr>
          <w:ilvl w:val="0"/>
          <w:numId w:val="29"/>
        </w:numPr>
        <w:rPr>
          <w:rFonts w:asciiTheme="minorHAnsi" w:hAnsiTheme="minorHAnsi" w:cstheme="minorHAnsi"/>
          <w:sz w:val="21"/>
          <w:szCs w:val="21"/>
        </w:rPr>
      </w:pPr>
      <w:r w:rsidRPr="005C3CB3">
        <w:rPr>
          <w:rFonts w:asciiTheme="minorHAnsi" w:hAnsiTheme="minorHAnsi" w:cstheme="minorHAnsi"/>
          <w:sz w:val="21"/>
          <w:szCs w:val="21"/>
        </w:rPr>
        <w:t>ASSC Member, October 2020</w:t>
      </w:r>
      <w:r w:rsidRPr="002C1BF9">
        <w:rPr>
          <w:rFonts w:asciiTheme="minorHAnsi" w:hAnsiTheme="minorHAnsi" w:cstheme="minorHAnsi"/>
          <w:i/>
          <w:sz w:val="21"/>
          <w:szCs w:val="21"/>
        </w:rPr>
        <w:t xml:space="preserve">: </w:t>
      </w:r>
      <w:r w:rsidR="00033DD9" w:rsidRPr="005C3CB3">
        <w:rPr>
          <w:rFonts w:asciiTheme="minorHAnsi" w:hAnsiTheme="minorHAnsi" w:cstheme="minorHAnsi"/>
          <w:i/>
          <w:sz w:val="21"/>
          <w:szCs w:val="21"/>
        </w:rPr>
        <w:t>“It’s not worth it, and the inexorable rise in costs, the total lack of certainty about what those costs will be, uncertainty as to whether or not we’ll be granted a licence, whether we will have to refund bookings if we don’t, and general inability to plan means that we will put our much-loved home on the market as soon as we know what’s happening and relocate to somewhere that values our presence. To be clear, we already have two prospective purchasers, one being resident abroad and another being a wealthy English family. Both would want our property purely as a holiday home and will leave it empty 44 weeks of the year. Given that we have no idea what additional restrictions and taxes on second home purchases will be imposed on us or prospective purchasers in the future it would be utterly stupid to reject their advances.”</w:t>
      </w:r>
      <w:r w:rsidR="00033DD9" w:rsidRPr="005C3CB3">
        <w:rPr>
          <w:rFonts w:asciiTheme="minorHAnsi" w:hAnsiTheme="minorHAnsi" w:cstheme="minorHAnsi"/>
          <w:sz w:val="21"/>
          <w:szCs w:val="21"/>
        </w:rPr>
        <w:t xml:space="preserve"> </w:t>
      </w:r>
    </w:p>
    <w:p w14:paraId="668F6570" w14:textId="77777777" w:rsidR="00AF1E70" w:rsidRPr="002C1BF9" w:rsidRDefault="00AF1E70" w:rsidP="005C3CB3">
      <w:pPr>
        <w:pStyle w:val="ListParagraph"/>
        <w:ind w:left="360"/>
        <w:rPr>
          <w:rFonts w:asciiTheme="minorHAnsi" w:hAnsiTheme="minorHAnsi" w:cstheme="minorHAnsi"/>
          <w:sz w:val="21"/>
          <w:szCs w:val="21"/>
        </w:rPr>
      </w:pPr>
    </w:p>
    <w:p w14:paraId="26335C85" w14:textId="77777777" w:rsidR="00CC68C5" w:rsidRPr="005C3CB3" w:rsidRDefault="00AF1E70" w:rsidP="008D55BC">
      <w:pPr>
        <w:pStyle w:val="ListParagraph"/>
        <w:numPr>
          <w:ilvl w:val="0"/>
          <w:numId w:val="31"/>
        </w:numPr>
        <w:shd w:val="clear" w:color="auto" w:fill="FFFFFF"/>
        <w:rPr>
          <w:rFonts w:asciiTheme="minorHAnsi" w:hAnsiTheme="minorHAnsi" w:cstheme="minorHAnsi"/>
          <w:color w:val="000000" w:themeColor="text1"/>
          <w:sz w:val="21"/>
          <w:szCs w:val="21"/>
        </w:rPr>
      </w:pPr>
      <w:r w:rsidRPr="002C1BF9">
        <w:rPr>
          <w:rFonts w:asciiTheme="minorHAnsi" w:hAnsiTheme="minorHAnsi" w:cstheme="minorHAnsi"/>
          <w:sz w:val="21"/>
          <w:szCs w:val="21"/>
        </w:rPr>
        <w:t xml:space="preserve">In November 2021, the ASSC undertook a snap membership survey into the cost of existing compliance with regulations. </w:t>
      </w:r>
      <w:r w:rsidR="00CC68C5" w:rsidRPr="005C3CB3">
        <w:rPr>
          <w:rFonts w:asciiTheme="minorHAnsi" w:hAnsiTheme="minorHAnsi" w:cstheme="minorHAnsi"/>
          <w:color w:val="000000" w:themeColor="text1"/>
          <w:sz w:val="21"/>
          <w:szCs w:val="21"/>
        </w:rPr>
        <w:t xml:space="preserve">In 22 hours, the survey generated </w:t>
      </w:r>
      <w:r w:rsidR="00CC68C5" w:rsidRPr="005C3CB3">
        <w:rPr>
          <w:rFonts w:asciiTheme="minorHAnsi" w:hAnsiTheme="minorHAnsi" w:cstheme="minorHAnsi"/>
          <w:b/>
          <w:color w:val="000000" w:themeColor="text1"/>
          <w:sz w:val="21"/>
          <w:szCs w:val="21"/>
        </w:rPr>
        <w:t>336 responses from businesses in 26 out of 32 local authorities</w:t>
      </w:r>
      <w:r w:rsidR="00CC68C5" w:rsidRPr="005C3CB3">
        <w:rPr>
          <w:rFonts w:asciiTheme="minorHAnsi" w:hAnsiTheme="minorHAnsi" w:cstheme="minorHAnsi"/>
          <w:color w:val="000000" w:themeColor="text1"/>
          <w:sz w:val="21"/>
          <w:szCs w:val="21"/>
        </w:rPr>
        <w:t>. 53% were from members of the ASSC and 47% responses were from non-members. The survey closed at 5pm on 8</w:t>
      </w:r>
      <w:r w:rsidR="00CC68C5" w:rsidRPr="005C3CB3">
        <w:rPr>
          <w:rFonts w:asciiTheme="minorHAnsi" w:hAnsiTheme="minorHAnsi" w:cstheme="minorHAnsi"/>
          <w:color w:val="000000" w:themeColor="text1"/>
          <w:sz w:val="21"/>
          <w:szCs w:val="21"/>
          <w:vertAlign w:val="superscript"/>
        </w:rPr>
        <w:t>th</w:t>
      </w:r>
      <w:r w:rsidR="00CC68C5" w:rsidRPr="005C3CB3">
        <w:rPr>
          <w:rFonts w:asciiTheme="minorHAnsi" w:hAnsiTheme="minorHAnsi" w:cstheme="minorHAnsi"/>
          <w:color w:val="000000" w:themeColor="text1"/>
          <w:sz w:val="21"/>
          <w:szCs w:val="21"/>
        </w:rPr>
        <w:t xml:space="preserve"> November.</w:t>
      </w:r>
    </w:p>
    <w:p w14:paraId="1B712433" w14:textId="77777777" w:rsidR="00AF1E70" w:rsidRPr="005C3CB3" w:rsidRDefault="00CC68C5" w:rsidP="008D55BC">
      <w:pPr>
        <w:pStyle w:val="ListParagraph"/>
        <w:numPr>
          <w:ilvl w:val="0"/>
          <w:numId w:val="29"/>
        </w:numPr>
        <w:rPr>
          <w:rFonts w:asciiTheme="minorHAnsi" w:hAnsiTheme="minorHAnsi" w:cstheme="minorHAnsi"/>
          <w:sz w:val="21"/>
          <w:szCs w:val="21"/>
        </w:rPr>
      </w:pPr>
      <w:r w:rsidRPr="002C1BF9">
        <w:rPr>
          <w:rFonts w:asciiTheme="minorHAnsi" w:hAnsiTheme="minorHAnsi" w:cstheme="minorHAnsi"/>
          <w:sz w:val="21"/>
          <w:szCs w:val="21"/>
        </w:rPr>
        <w:t>The key findings were as follows:</w:t>
      </w:r>
    </w:p>
    <w:p w14:paraId="5E866FBF"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vast majority of respondents identified that they came from rural areas / islands (81%). </w:t>
      </w:r>
    </w:p>
    <w:p w14:paraId="6679ED91"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75% or respondents report turnover of under £50k per annum, and 43% under £20k per annum.</w:t>
      </w:r>
    </w:p>
    <w:p w14:paraId="6E9BC531"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June 2021 BRIA calculated the total compliance costs to be circa </w:t>
      </w:r>
      <w:r w:rsidRPr="005C3CB3">
        <w:rPr>
          <w:rFonts w:asciiTheme="minorHAnsi" w:hAnsiTheme="minorHAnsi" w:cstheme="minorHAnsi"/>
          <w:b/>
          <w:sz w:val="21"/>
          <w:szCs w:val="21"/>
        </w:rPr>
        <w:t>£963.00</w:t>
      </w:r>
      <w:r w:rsidRPr="005C3CB3">
        <w:rPr>
          <w:rFonts w:asciiTheme="minorHAnsi" w:hAnsiTheme="minorHAnsi" w:cstheme="minorHAnsi"/>
          <w:sz w:val="21"/>
          <w:szCs w:val="21"/>
        </w:rPr>
        <w:t xml:space="preserve">. </w:t>
      </w:r>
    </w:p>
    <w:p w14:paraId="68E8C9C1" w14:textId="77777777" w:rsidR="00AF1E70" w:rsidRPr="005C3CB3" w:rsidRDefault="00AF1E70" w:rsidP="008D55BC">
      <w:pPr>
        <w:pStyle w:val="ListParagraph"/>
        <w:numPr>
          <w:ilvl w:val="0"/>
          <w:numId w:val="30"/>
        </w:numPr>
        <w:rPr>
          <w:rFonts w:asciiTheme="minorHAnsi" w:hAnsiTheme="minorHAnsi" w:cstheme="minorHAnsi"/>
          <w:bCs/>
          <w:sz w:val="21"/>
          <w:szCs w:val="21"/>
          <w:lang w:eastAsia="en-GB"/>
        </w:rPr>
      </w:pPr>
      <w:r w:rsidRPr="005C3CB3">
        <w:rPr>
          <w:rFonts w:asciiTheme="minorHAnsi" w:hAnsiTheme="minorHAnsi" w:cstheme="minorHAnsi"/>
          <w:sz w:val="21"/>
          <w:szCs w:val="21"/>
        </w:rPr>
        <w:t xml:space="preserve">Real costs identified by operators are three times those identified in the BRIA, illustrating an </w:t>
      </w:r>
      <w:r w:rsidRPr="005C3CB3">
        <w:rPr>
          <w:rFonts w:asciiTheme="minorHAnsi" w:hAnsiTheme="minorHAnsi" w:cstheme="minorHAnsi"/>
          <w:b/>
          <w:sz w:val="21"/>
          <w:szCs w:val="21"/>
        </w:rPr>
        <w:t xml:space="preserve">average cost of </w:t>
      </w:r>
      <w:r w:rsidRPr="005C3CB3">
        <w:rPr>
          <w:rFonts w:asciiTheme="minorHAnsi" w:hAnsiTheme="minorHAnsi" w:cstheme="minorHAnsi"/>
          <w:b/>
          <w:bCs/>
          <w:sz w:val="21"/>
          <w:szCs w:val="21"/>
          <w:lang w:eastAsia="en-GB"/>
        </w:rPr>
        <w:t>£2,969</w:t>
      </w:r>
      <w:r w:rsidRPr="005C3CB3">
        <w:rPr>
          <w:rFonts w:asciiTheme="minorHAnsi" w:hAnsiTheme="minorHAnsi" w:cstheme="minorHAnsi"/>
          <w:bCs/>
          <w:sz w:val="21"/>
          <w:szCs w:val="21"/>
          <w:lang w:eastAsia="en-GB"/>
        </w:rPr>
        <w:t xml:space="preserve">. This will, of course, vary according to urban / rural / remote / island operations. </w:t>
      </w:r>
    </w:p>
    <w:p w14:paraId="4590F31D" w14:textId="77777777" w:rsidR="00AF1E70" w:rsidRPr="005C3CB3" w:rsidRDefault="00AF1E70" w:rsidP="008D55BC">
      <w:pPr>
        <w:pStyle w:val="ListParagraph"/>
        <w:numPr>
          <w:ilvl w:val="0"/>
          <w:numId w:val="30"/>
        </w:numPr>
        <w:rPr>
          <w:rFonts w:asciiTheme="minorHAnsi" w:hAnsiTheme="minorHAnsi" w:cstheme="minorHAnsi"/>
          <w:sz w:val="21"/>
          <w:szCs w:val="21"/>
        </w:rPr>
      </w:pPr>
      <w:r w:rsidRPr="005C3CB3">
        <w:rPr>
          <w:rFonts w:asciiTheme="minorHAnsi" w:hAnsiTheme="minorHAnsi" w:cstheme="minorHAnsi"/>
          <w:sz w:val="21"/>
          <w:szCs w:val="21"/>
        </w:rPr>
        <w:t xml:space="preserve">The costs identified in this survey do not include additional costs for ‘Information to be Displayed’, plans to show ‘maximum occupancy’, and other new costs associated with the proposed licensing regime. </w:t>
      </w:r>
    </w:p>
    <w:p w14:paraId="64CB7EFE" w14:textId="77777777" w:rsidR="00AF1E70" w:rsidRPr="005C3CB3" w:rsidRDefault="00AF1E70" w:rsidP="008D55BC">
      <w:pPr>
        <w:pStyle w:val="ListParagraph"/>
        <w:numPr>
          <w:ilvl w:val="0"/>
          <w:numId w:val="30"/>
        </w:numPr>
        <w:textAlignment w:val="top"/>
        <w:rPr>
          <w:rFonts w:asciiTheme="minorHAnsi" w:hAnsiTheme="minorHAnsi" w:cstheme="minorHAnsi"/>
          <w:sz w:val="21"/>
          <w:szCs w:val="21"/>
        </w:rPr>
      </w:pPr>
      <w:r w:rsidRPr="005C3CB3">
        <w:rPr>
          <w:rFonts w:asciiTheme="minorHAnsi" w:hAnsiTheme="minorHAnsi" w:cstheme="minorHAnsi"/>
          <w:sz w:val="21"/>
          <w:szCs w:val="21"/>
        </w:rPr>
        <w:t xml:space="preserve">76% of respondents’ report increases in operating costs of between 11-75%. The key driver is the pandemic in terms of additional cleaning times, operators leaving fallow days to ensure guests safety, the cost of materials and labour, extra linen costs, plus the need for relaxed cancellation policies. </w:t>
      </w:r>
    </w:p>
    <w:p w14:paraId="6DD3BFD8" w14:textId="77777777" w:rsidR="0037176C" w:rsidRPr="005C3CB3" w:rsidRDefault="00AF1E70" w:rsidP="008D55BC">
      <w:pPr>
        <w:pStyle w:val="ListParagraph"/>
        <w:numPr>
          <w:ilvl w:val="0"/>
          <w:numId w:val="30"/>
        </w:numPr>
        <w:textAlignment w:val="top"/>
        <w:rPr>
          <w:rFonts w:asciiTheme="minorHAnsi" w:hAnsiTheme="minorHAnsi" w:cstheme="minorHAnsi"/>
          <w:sz w:val="21"/>
          <w:szCs w:val="21"/>
        </w:rPr>
      </w:pPr>
      <w:r w:rsidRPr="005C3CB3">
        <w:rPr>
          <w:rFonts w:asciiTheme="minorHAnsi" w:hAnsiTheme="minorHAnsi" w:cstheme="minorHAnsi"/>
          <w:sz w:val="21"/>
          <w:szCs w:val="21"/>
        </w:rPr>
        <w:t>The cost of doing business generally has risen exponentially since the pandemic</w:t>
      </w:r>
      <w:r w:rsidR="00391213" w:rsidRPr="002C1BF9">
        <w:rPr>
          <w:rFonts w:asciiTheme="minorHAnsi" w:hAnsiTheme="minorHAnsi" w:cstheme="minorHAnsi"/>
          <w:sz w:val="21"/>
          <w:szCs w:val="21"/>
        </w:rPr>
        <w:t>. One member commented:</w:t>
      </w:r>
      <w:r w:rsidRPr="005C3CB3">
        <w:rPr>
          <w:rFonts w:asciiTheme="minorHAnsi" w:hAnsiTheme="minorHAnsi" w:cstheme="minorHAnsi"/>
          <w:sz w:val="21"/>
          <w:szCs w:val="21"/>
        </w:rPr>
        <w:t xml:space="preserve"> </w:t>
      </w:r>
      <w:r w:rsidRPr="005C3CB3">
        <w:rPr>
          <w:rFonts w:asciiTheme="minorHAnsi" w:hAnsiTheme="minorHAnsi" w:cstheme="minorHAnsi"/>
          <w:i/>
          <w:sz w:val="21"/>
          <w:szCs w:val="21"/>
        </w:rPr>
        <w:t>“Gas bills have increased by 18%. Electricity bills have increase by 15%. Insurance has increased by 15% and cover has reduced.”</w:t>
      </w:r>
    </w:p>
    <w:p w14:paraId="6F73BF0C" w14:textId="77777777" w:rsidR="0037176C" w:rsidRPr="005C3CB3" w:rsidRDefault="0037176C" w:rsidP="008D55BC">
      <w:pPr>
        <w:pStyle w:val="ListParagraph"/>
        <w:numPr>
          <w:ilvl w:val="0"/>
          <w:numId w:val="29"/>
        </w:numPr>
        <w:rPr>
          <w:rFonts w:asciiTheme="minorHAnsi" w:hAnsiTheme="minorHAnsi" w:cstheme="minorHAnsi"/>
          <w:bCs/>
          <w:sz w:val="21"/>
          <w:szCs w:val="21"/>
        </w:rPr>
      </w:pPr>
      <w:r w:rsidRPr="005C3CB3">
        <w:rPr>
          <w:rFonts w:asciiTheme="minorHAnsi" w:hAnsiTheme="minorHAnsi" w:cstheme="minorHAnsi"/>
          <w:bCs/>
          <w:sz w:val="21"/>
          <w:szCs w:val="21"/>
        </w:rPr>
        <w:t xml:space="preserve">The revised BRIA should reference real and real-time costs. In the same way that scraped data is not accurate, nor are price comparison websites or outdated resources.  In addition, there should be </w:t>
      </w:r>
      <w:r w:rsidRPr="005C3CB3">
        <w:rPr>
          <w:rFonts w:asciiTheme="minorHAnsi" w:hAnsiTheme="minorHAnsi" w:cstheme="minorHAnsi"/>
          <w:bCs/>
          <w:sz w:val="21"/>
          <w:szCs w:val="21"/>
        </w:rPr>
        <w:lastRenderedPageBreak/>
        <w:t xml:space="preserve">reference to, and cognisance of, the additional costs incurred by rural and remote locations in terms of call out charges, labour and increased material charges. </w:t>
      </w:r>
    </w:p>
    <w:p w14:paraId="467519AF" w14:textId="77777777" w:rsidR="0037176C" w:rsidRPr="00DA078A" w:rsidRDefault="0037176C" w:rsidP="008D55BC">
      <w:pPr>
        <w:pStyle w:val="ListParagraph"/>
        <w:numPr>
          <w:ilvl w:val="0"/>
          <w:numId w:val="29"/>
        </w:numPr>
        <w:rPr>
          <w:rFonts w:asciiTheme="minorHAnsi" w:hAnsiTheme="minorHAnsi" w:cstheme="minorHAnsi"/>
          <w:bCs/>
          <w:sz w:val="21"/>
          <w:szCs w:val="21"/>
        </w:rPr>
      </w:pPr>
      <w:r w:rsidRPr="005C3CB3">
        <w:rPr>
          <w:rFonts w:asciiTheme="minorHAnsi" w:hAnsiTheme="minorHAnsi" w:cstheme="minorHAnsi"/>
          <w:bCs/>
          <w:sz w:val="21"/>
          <w:szCs w:val="21"/>
        </w:rPr>
        <w:t xml:space="preserve">The ASSC urges the Scottish Government to undertake a real impact assessment of the proposed legislation on the sector, collaborating with operators who can provide real figures associated with business and compliance costs, prior to any further discussion. </w:t>
      </w:r>
    </w:p>
    <w:p w14:paraId="15671ED3" w14:textId="77777777" w:rsidR="002C1BF9" w:rsidRPr="005C3CB3" w:rsidRDefault="002C1BF9" w:rsidP="002C1BF9">
      <w:pPr>
        <w:textAlignment w:val="top"/>
        <w:rPr>
          <w:rFonts w:asciiTheme="minorHAnsi" w:hAnsiTheme="minorHAnsi" w:cstheme="minorHAnsi"/>
          <w:sz w:val="21"/>
          <w:szCs w:val="21"/>
        </w:rPr>
      </w:pPr>
    </w:p>
    <w:p w14:paraId="1477CF38" w14:textId="77777777" w:rsidR="008231EB" w:rsidRDefault="008231EB">
      <w:pPr>
        <w:rPr>
          <w:rFonts w:asciiTheme="minorHAnsi" w:hAnsiTheme="minorHAnsi" w:cstheme="minorHAnsi"/>
          <w:b/>
          <w:bCs/>
          <w:sz w:val="21"/>
          <w:szCs w:val="21"/>
          <w:u w:val="single"/>
        </w:rPr>
      </w:pPr>
      <w:r>
        <w:rPr>
          <w:rFonts w:asciiTheme="minorHAnsi" w:hAnsiTheme="minorHAnsi" w:cstheme="minorHAnsi"/>
          <w:b/>
          <w:bCs/>
          <w:sz w:val="21"/>
          <w:szCs w:val="21"/>
          <w:u w:val="single"/>
        </w:rPr>
        <w:br w:type="page"/>
      </w:r>
    </w:p>
    <w:p w14:paraId="30164CBC" w14:textId="6E502A68" w:rsidR="00360700" w:rsidRPr="002C1BF9" w:rsidRDefault="00A930A5" w:rsidP="002C1BF9">
      <w:pPr>
        <w:rPr>
          <w:rFonts w:asciiTheme="minorHAnsi" w:hAnsiTheme="minorHAnsi" w:cstheme="minorHAnsi"/>
          <w:b/>
          <w:bCs/>
          <w:sz w:val="21"/>
          <w:szCs w:val="21"/>
          <w:u w:val="single"/>
        </w:rPr>
      </w:pPr>
      <w:r w:rsidRPr="002C1BF9">
        <w:rPr>
          <w:rFonts w:asciiTheme="minorHAnsi" w:hAnsiTheme="minorHAnsi" w:cstheme="minorHAnsi"/>
          <w:b/>
          <w:bCs/>
          <w:sz w:val="21"/>
          <w:szCs w:val="21"/>
          <w:u w:val="single"/>
        </w:rPr>
        <w:lastRenderedPageBreak/>
        <w:t xml:space="preserve">ANNEX 4: LOCAL AUTHORITY RESPONSES FROM 2020 </w:t>
      </w:r>
      <w:r w:rsidR="00956507" w:rsidRPr="002C1BF9">
        <w:rPr>
          <w:rFonts w:asciiTheme="minorHAnsi" w:hAnsiTheme="minorHAnsi" w:cstheme="minorHAnsi"/>
          <w:b/>
          <w:bCs/>
          <w:sz w:val="21"/>
          <w:szCs w:val="21"/>
          <w:u w:val="single"/>
        </w:rPr>
        <w:t xml:space="preserve">SHORT-TERM LET </w:t>
      </w:r>
      <w:r w:rsidRPr="002C1BF9">
        <w:rPr>
          <w:rFonts w:asciiTheme="minorHAnsi" w:hAnsiTheme="minorHAnsi" w:cstheme="minorHAnsi"/>
          <w:b/>
          <w:bCs/>
          <w:sz w:val="21"/>
          <w:szCs w:val="21"/>
          <w:u w:val="single"/>
        </w:rPr>
        <w:t xml:space="preserve">CONSULTATION </w:t>
      </w:r>
    </w:p>
    <w:p w14:paraId="628A9818" w14:textId="77777777" w:rsidR="00360700" w:rsidRPr="002C1BF9" w:rsidRDefault="00360700" w:rsidP="002C1BF9">
      <w:pPr>
        <w:rPr>
          <w:rFonts w:asciiTheme="minorHAnsi" w:hAnsiTheme="minorHAnsi" w:cstheme="minorHAnsi"/>
          <w:b/>
          <w:bCs/>
          <w:sz w:val="21"/>
          <w:szCs w:val="21"/>
          <w:u w:val="single"/>
        </w:rPr>
      </w:pPr>
    </w:p>
    <w:p w14:paraId="79F9BBB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COSLA</w:t>
      </w:r>
    </w:p>
    <w:p w14:paraId="7CA34401" w14:textId="77777777" w:rsidR="00360700" w:rsidRPr="002C1BF9"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“It will be necessary to understand the administrative burden that this may place on local authorities and how this will be resourced.</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17"/>
      </w:r>
    </w:p>
    <w:p w14:paraId="1E74C331" w14:textId="77777777" w:rsidR="0024687C" w:rsidRPr="005C3CB3" w:rsidRDefault="0024687C" w:rsidP="002C1BF9">
      <w:pPr>
        <w:rPr>
          <w:rFonts w:asciiTheme="minorHAnsi" w:hAnsiTheme="minorHAnsi" w:cstheme="minorHAnsi"/>
          <w:sz w:val="21"/>
          <w:szCs w:val="21"/>
        </w:rPr>
      </w:pPr>
    </w:p>
    <w:p w14:paraId="0070E6C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Aberdeen City Council</w:t>
      </w:r>
    </w:p>
    <w:p w14:paraId="065207B6"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 xml:space="preserve">“We believe that the 12-month lead-in time to establish our Short-term Let regime will be resource intensive and there will be no ability to recruit additional staff when resources aren’t available until licence applications are submitted and fees paid. </w:t>
      </w:r>
      <w:proofErr w:type="gramStart"/>
      <w:r w:rsidRPr="005C3CB3">
        <w:rPr>
          <w:rFonts w:asciiTheme="minorHAnsi" w:hAnsiTheme="minorHAnsi" w:cstheme="minorHAnsi"/>
          <w:i/>
          <w:iCs/>
          <w:sz w:val="21"/>
          <w:szCs w:val="21"/>
          <w:shd w:val="clear" w:color="auto" w:fill="FFFFFF"/>
        </w:rPr>
        <w:t>This poses</w:t>
      </w:r>
      <w:proofErr w:type="gramEnd"/>
      <w:r w:rsidRPr="005C3CB3">
        <w:rPr>
          <w:rFonts w:asciiTheme="minorHAnsi" w:hAnsiTheme="minorHAnsi" w:cstheme="minorHAnsi"/>
          <w:i/>
          <w:iCs/>
          <w:sz w:val="21"/>
          <w:szCs w:val="21"/>
          <w:shd w:val="clear" w:color="auto" w:fill="FFFFFF"/>
        </w:rPr>
        <w:t xml:space="preserve"> staffing issues for the council. Consequently, we believe that the Scottish Government should fund the start-up costs.</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18"/>
      </w:r>
    </w:p>
    <w:p w14:paraId="13FE7310"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2390F6A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Borders Council</w:t>
      </w:r>
    </w:p>
    <w:p w14:paraId="0B5323F8"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“…it is considered essential that Scottish Government provide specific funding for additional resources required by LA’s to cover the initial set up costs, including the transitional and compliance elements of the new legislation.</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19"/>
      </w:r>
    </w:p>
    <w:p w14:paraId="0F9788B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rPr>
        <w:t> </w:t>
      </w:r>
    </w:p>
    <w:p w14:paraId="43654B25" w14:textId="77777777" w:rsidR="00360700" w:rsidRPr="005C3CB3" w:rsidRDefault="00360700" w:rsidP="002C1BF9">
      <w:pPr>
        <w:rPr>
          <w:rFonts w:asciiTheme="minorHAnsi" w:hAnsiTheme="minorHAnsi" w:cstheme="minorHAnsi"/>
          <w:sz w:val="21"/>
          <w:szCs w:val="21"/>
        </w:rPr>
      </w:pPr>
      <w:bookmarkStart w:id="1" w:name="_Hlk87285534"/>
      <w:r w:rsidRPr="005C3CB3">
        <w:rPr>
          <w:rFonts w:asciiTheme="minorHAnsi" w:hAnsiTheme="minorHAnsi" w:cstheme="minorHAnsi"/>
          <w:b/>
          <w:bCs/>
          <w:sz w:val="21"/>
          <w:szCs w:val="21"/>
          <w:shd w:val="clear" w:color="auto" w:fill="FFFFFF"/>
        </w:rPr>
        <w:t>Comhairle nan Eilean Siar</w:t>
      </w:r>
    </w:p>
    <w:bookmarkEnd w:id="1"/>
    <w:p w14:paraId="2000A2C9"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“We have no indication of what the full impact of any COVID-19 fallout will be as the situation is ongoing. Economic recovery may be protracted and we may be dependent on our Tourism Sector to inject life into our economy. Providing us with as much flexibility as possible with regard to regulations would help us in the long term.”</w:t>
      </w:r>
    </w:p>
    <w:p w14:paraId="5371B26A"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4BD66B97"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evidence gathering, consultation and mechanism to set up a control area will require resourcing, finance and additional staff time to deal with retrospective planning applications where these are required during the transitional period. This legislation will have significant implications for both Development Plans &amp; Development Management, ever diminishing teams against a background of annual budget cuts.</w:t>
      </w:r>
    </w:p>
    <w:p w14:paraId="7BEA6CF3"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 </w:t>
      </w:r>
    </w:p>
    <w:p w14:paraId="6B629219"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issue of enforcing regulations and the extra work this will entail is likely to fall on Planning and Licencing staff. In the current climate, the Comhairle is undergoing consultations on cuts that will need to be made to balance support given during lockdown. There is no budget available currently for the recruiting and training of staff and although it is anticipated that potential fees will pay for any staff, there is an initial outlay required, which has not been planned for in budgets. We propose an initial start-up grant or loan from Scottish Government.</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Each application would require due consideration and income from planning fees for Change of Use, at current levels, would be unlikely to cover additional staff time for this work.”</w:t>
      </w:r>
    </w:p>
    <w:p w14:paraId="3F8BB19B"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 </w:t>
      </w:r>
    </w:p>
    <w:p w14:paraId="6D297021"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“Paragraph 6.4 all local authorities must have a live licencing scheme open to receive licensing applications by 1 April 2022.</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There are 18 months until this needs to be in place, and probably about 12 months once we know the outcome of this consultation and see guidance in the spring. There are policies to be written, consultations to be carried out with public and stakeholders, committees to seek approval from, staff to be employed and trained etc. We are still working from home and under restriction, and with the best will in the world, 18 (or 12) months to get everything underway, when we don’t know what is happening with our workplace, or indeed the way we are working, seems ambitious.”</w:t>
      </w:r>
      <w:r w:rsidRPr="005C3CB3">
        <w:rPr>
          <w:rFonts w:asciiTheme="minorHAnsi" w:hAnsiTheme="minorHAnsi" w:cstheme="minorHAnsi"/>
          <w:sz w:val="21"/>
          <w:szCs w:val="21"/>
          <w:shd w:val="clear" w:color="auto" w:fill="FFFFFF"/>
          <w:vertAlign w:val="superscript"/>
        </w:rPr>
        <w:footnoteReference w:id="20"/>
      </w:r>
    </w:p>
    <w:p w14:paraId="69BFA69C" w14:textId="77777777" w:rsidR="002C1BF9" w:rsidRPr="00DA078A" w:rsidRDefault="00360700" w:rsidP="002C1BF9">
      <w:pPr>
        <w:rPr>
          <w:rFonts w:asciiTheme="minorHAnsi" w:hAnsiTheme="minorHAnsi" w:cstheme="minorHAnsi"/>
          <w:sz w:val="21"/>
          <w:szCs w:val="21"/>
        </w:rPr>
      </w:pPr>
      <w:r w:rsidRPr="005C3CB3">
        <w:rPr>
          <w:rFonts w:asciiTheme="minorHAnsi" w:hAnsiTheme="minorHAnsi" w:cstheme="minorHAnsi"/>
          <w:sz w:val="21"/>
          <w:szCs w:val="21"/>
        </w:rPr>
        <w:lastRenderedPageBreak/>
        <w:t> </w:t>
      </w:r>
    </w:p>
    <w:p w14:paraId="0D3D8845" w14:textId="77777777" w:rsidR="008231EB" w:rsidRDefault="008231EB" w:rsidP="002C1BF9">
      <w:pPr>
        <w:rPr>
          <w:rFonts w:asciiTheme="minorHAnsi" w:hAnsiTheme="minorHAnsi" w:cstheme="minorHAnsi"/>
          <w:b/>
          <w:bCs/>
          <w:sz w:val="21"/>
          <w:szCs w:val="21"/>
          <w:shd w:val="clear" w:color="auto" w:fill="FFFFFF"/>
        </w:rPr>
      </w:pPr>
    </w:p>
    <w:p w14:paraId="78679BFD" w14:textId="53555F80"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Glasgow City Council</w:t>
      </w:r>
    </w:p>
    <w:p w14:paraId="39D839A3"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“It is anticipated that there will be significant resourcing issues for the Local Authority in setting up a licensing scheme. Significant staff resourcing for set of scheme/verification process/carrying out inspections/enforcement etc. would be required.</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21"/>
      </w:r>
    </w:p>
    <w:p w14:paraId="3727FE74"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1459729F"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Highland Council</w:t>
      </w:r>
    </w:p>
    <w:p w14:paraId="468F065E"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“The new regulatory responsibility of both licensing and control areas are anticipated to have significant, budgetary and regulatory impacts on the Highland Council; invoking responsibilities in relation to the status and safety of a very large number of properties across a dispersed geographical area</w:t>
      </w:r>
      <w:r w:rsidRPr="005C3CB3">
        <w:rPr>
          <w:rFonts w:asciiTheme="minorHAnsi" w:hAnsiTheme="minorHAnsi" w:cstheme="minorHAnsi"/>
          <w:i/>
          <w:iCs/>
          <w:sz w:val="21"/>
          <w:szCs w:val="21"/>
        </w:rPr>
        <w:t>…”</w:t>
      </w:r>
    </w:p>
    <w:p w14:paraId="77F41E5C"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rPr>
        <w:t> </w:t>
      </w:r>
    </w:p>
    <w:p w14:paraId="6B3DA3EF" w14:textId="77777777" w:rsidR="00360700" w:rsidRPr="005C3CB3" w:rsidRDefault="00360700" w:rsidP="002C1BF9">
      <w:pPr>
        <w:rPr>
          <w:rFonts w:asciiTheme="minorHAnsi" w:hAnsiTheme="minorHAnsi" w:cstheme="minorHAnsi"/>
          <w:i/>
          <w:iCs/>
          <w:sz w:val="21"/>
          <w:szCs w:val="21"/>
        </w:rPr>
      </w:pPr>
      <w:r w:rsidRPr="005C3CB3">
        <w:rPr>
          <w:rFonts w:asciiTheme="minorHAnsi" w:hAnsiTheme="minorHAnsi" w:cstheme="minorHAnsi"/>
          <w:i/>
          <w:iCs/>
          <w:sz w:val="21"/>
          <w:szCs w:val="21"/>
          <w:shd w:val="clear" w:color="auto" w:fill="FFFFFF"/>
        </w:rPr>
        <w:t>Highland Council also estimate that they could receive as much as “10,000 potential applications</w:t>
      </w:r>
      <w:r w:rsidRPr="005C3CB3">
        <w:rPr>
          <w:rFonts w:asciiTheme="minorHAnsi" w:hAnsiTheme="minorHAnsi" w:cstheme="minorHAnsi"/>
          <w:i/>
          <w:iCs/>
          <w:sz w:val="21"/>
          <w:szCs w:val="21"/>
        </w:rPr>
        <w:t>” on licensing and that while the “scheme permits a phased approach over a 3-year period but this will still present considerable administrative and operational undertaking for dealing with the initial applications. Ongoing resource will then be needed for renewals and new premises.</w:t>
      </w:r>
    </w:p>
    <w:p w14:paraId="36C6F30C" w14:textId="77777777" w:rsidR="00360700" w:rsidRPr="005C3CB3" w:rsidRDefault="00360700" w:rsidP="002C1BF9">
      <w:pPr>
        <w:rPr>
          <w:rFonts w:asciiTheme="minorHAnsi" w:hAnsiTheme="minorHAnsi" w:cstheme="minorHAnsi"/>
          <w:i/>
          <w:iCs/>
          <w:sz w:val="21"/>
          <w:szCs w:val="21"/>
          <w:shd w:val="clear" w:color="auto" w:fill="FFFFFF"/>
        </w:rPr>
      </w:pPr>
    </w:p>
    <w:p w14:paraId="0966EA81" w14:textId="77777777" w:rsidR="00360700" w:rsidRPr="005C3CB3" w:rsidRDefault="00360700" w:rsidP="002C1BF9">
      <w:pPr>
        <w:rPr>
          <w:rFonts w:asciiTheme="minorHAnsi" w:hAnsiTheme="minorHAnsi" w:cstheme="minorHAnsi"/>
          <w:i/>
          <w:iCs/>
          <w:sz w:val="21"/>
          <w:szCs w:val="21"/>
          <w:shd w:val="clear" w:color="auto" w:fill="FFFFFF"/>
        </w:rPr>
      </w:pPr>
      <w:r w:rsidRPr="005C3CB3">
        <w:rPr>
          <w:rFonts w:asciiTheme="minorHAnsi" w:hAnsiTheme="minorHAnsi" w:cstheme="minorHAnsi"/>
          <w:i/>
          <w:iCs/>
          <w:sz w:val="21"/>
          <w:szCs w:val="21"/>
          <w:shd w:val="clear" w:color="auto" w:fill="FFFFFF"/>
        </w:rPr>
        <w:t>The workload will necessitate additional staff for the following teams:</w:t>
      </w:r>
    </w:p>
    <w:p w14:paraId="4C3F13DB" w14:textId="77777777" w:rsidR="00360700" w:rsidRPr="005C3CB3" w:rsidRDefault="00360700" w:rsidP="005C3CB3">
      <w:pPr>
        <w:rPr>
          <w:rFonts w:asciiTheme="minorHAnsi" w:hAnsiTheme="minorHAnsi" w:cstheme="minorHAnsi"/>
          <w:sz w:val="21"/>
          <w:szCs w:val="21"/>
        </w:rPr>
      </w:pP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Licensing team - additional administrative licensing staff</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Planning team – additional full-time posts (professional support officers) for a two-year period. There would still be resource required after this two-year period to cover new and renewed licence enquiries, however this is anticipated to be at a much lower level.</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Environmental Health additional full-time posts (technical officers) for a two-year period. There would still be resource required after this two-year period to cover new and renewed licence enquiries, however this is anticipated to be at a much lower level.</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ICT systems – a review of the on-line tools to enable self-service and on-line payments to streamline the application and payment process.”</w:t>
      </w:r>
      <w:r w:rsidRPr="005C3CB3">
        <w:rPr>
          <w:rFonts w:asciiTheme="minorHAnsi" w:hAnsiTheme="minorHAnsi" w:cstheme="minorHAnsi"/>
          <w:sz w:val="21"/>
          <w:szCs w:val="21"/>
          <w:shd w:val="clear" w:color="auto" w:fill="FFFFFF"/>
          <w:vertAlign w:val="superscript"/>
        </w:rPr>
        <w:footnoteReference w:id="22"/>
      </w:r>
    </w:p>
    <w:p w14:paraId="2AE98CDB" w14:textId="77777777" w:rsidR="0024687C" w:rsidRPr="002C1BF9" w:rsidRDefault="0024687C" w:rsidP="002C1BF9">
      <w:pPr>
        <w:rPr>
          <w:rFonts w:asciiTheme="minorHAnsi" w:hAnsiTheme="minorHAnsi" w:cstheme="minorHAnsi"/>
          <w:b/>
          <w:bCs/>
          <w:sz w:val="21"/>
          <w:szCs w:val="21"/>
          <w:shd w:val="clear" w:color="auto" w:fill="FFFFFF"/>
        </w:rPr>
      </w:pPr>
    </w:p>
    <w:p w14:paraId="5CCD6E4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North Ayrshire Council</w:t>
      </w:r>
    </w:p>
    <w:p w14:paraId="500D310D"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“Councils are to set up a new system, complete with new conditions and an inspection system involving Housing, Protective Services and Planning by 1 April 2022 at the latest. This would be a substantial task at any time, but it is particularly onerous when Council staff, working remotely, are facing increased demands to provide services to the public due to the coronavirus pandemic and Councils are facing unprecedented challenges, particularly with regard to licensing due to the coronavirus pandemic.</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(a) if premises are to be inspected, Council staff must be available for this;</w:t>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(b) Council staff are already having to work under pressure as the Coronavirus restrictions are regularly changed. In the case of STLs, where there are objections or representations to Licence Applications, delegated powers are not available to Council officers and the Application must be considered by the Licensing Committee. If there are to be around 327 Applications in North Ayrshire, then a portion of them will need a 'virtual hearing' compliant with ECHR 6. This would place a burden on Licensing Authorities at a time when they are least able to bear it.</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2.2. Although Councils will be able to choose when the licencing scheme will start locally, it must be within 12 months after 1 April 2021.</w:t>
      </w:r>
      <w:r w:rsidRPr="005C3CB3">
        <w:rPr>
          <w:rFonts w:asciiTheme="minorHAnsi" w:hAnsiTheme="minorHAnsi" w:cstheme="minorHAnsi"/>
          <w:i/>
          <w:iCs/>
          <w:sz w:val="21"/>
          <w:szCs w:val="21"/>
        </w:rPr>
        <w:br/>
      </w:r>
      <w:r w:rsidRPr="005C3CB3">
        <w:rPr>
          <w:rFonts w:asciiTheme="minorHAnsi" w:hAnsiTheme="minorHAnsi" w:cstheme="minorHAnsi"/>
          <w:i/>
          <w:iCs/>
          <w:sz w:val="21"/>
          <w:szCs w:val="21"/>
        </w:rPr>
        <w:br/>
      </w:r>
      <w:r w:rsidRPr="005C3CB3">
        <w:rPr>
          <w:rFonts w:asciiTheme="minorHAnsi" w:hAnsiTheme="minorHAnsi" w:cstheme="minorHAnsi"/>
          <w:i/>
          <w:iCs/>
          <w:sz w:val="21"/>
          <w:szCs w:val="21"/>
          <w:shd w:val="clear" w:color="auto" w:fill="FFFFFF"/>
        </w:rPr>
        <w:t xml:space="preserve">2.3. The new STL system commences at most 18 months away, and Councils have not seen the secondary legislation on which the new system will be based. It will be laid in Parliament in December 2020 and has </w:t>
      </w:r>
      <w:r w:rsidRPr="005C3CB3">
        <w:rPr>
          <w:rFonts w:asciiTheme="minorHAnsi" w:hAnsiTheme="minorHAnsi" w:cstheme="minorHAnsi"/>
          <w:i/>
          <w:iCs/>
          <w:sz w:val="21"/>
          <w:szCs w:val="21"/>
          <w:shd w:val="clear" w:color="auto" w:fill="FFFFFF"/>
        </w:rPr>
        <w:lastRenderedPageBreak/>
        <w:t>not been issued in draft. It has not been stated whether Application forms and other documentation will be prescribed, or whether they are to be drafted by individual Councils.”</w:t>
      </w:r>
      <w:r w:rsidRPr="005C3CB3">
        <w:rPr>
          <w:rFonts w:asciiTheme="minorHAnsi" w:hAnsiTheme="minorHAnsi" w:cstheme="minorHAnsi"/>
          <w:sz w:val="21"/>
          <w:szCs w:val="21"/>
          <w:shd w:val="clear" w:color="auto" w:fill="FFFFFF"/>
          <w:vertAlign w:val="superscript"/>
        </w:rPr>
        <w:footnoteReference w:id="23"/>
      </w:r>
    </w:p>
    <w:p w14:paraId="251F989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 </w:t>
      </w:r>
    </w:p>
    <w:p w14:paraId="3E768684" w14:textId="77777777" w:rsidR="002C5629" w:rsidRDefault="002C5629" w:rsidP="002C1BF9">
      <w:pPr>
        <w:rPr>
          <w:rFonts w:asciiTheme="minorHAnsi" w:hAnsiTheme="minorHAnsi" w:cstheme="minorHAnsi"/>
          <w:b/>
          <w:bCs/>
          <w:sz w:val="21"/>
          <w:szCs w:val="21"/>
          <w:shd w:val="clear" w:color="auto" w:fill="FFFFFF"/>
        </w:rPr>
      </w:pPr>
    </w:p>
    <w:p w14:paraId="482D9CAA" w14:textId="5BC8B938"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South Ayrshire Council</w:t>
      </w:r>
    </w:p>
    <w:p w14:paraId="18E00E5C"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“…there is an element of concern regarding the proposed lead in time for implementation of a robust licencing regime, the resources this will require and the added pressure to workloads required of staff and services.</w:t>
      </w:r>
      <w:r w:rsidRPr="005C3CB3">
        <w:rPr>
          <w:rFonts w:asciiTheme="minorHAnsi" w:hAnsiTheme="minorHAnsi" w:cstheme="minorHAnsi"/>
          <w:i/>
          <w:iCs/>
          <w:sz w:val="21"/>
          <w:szCs w:val="21"/>
        </w:rPr>
        <w:t>”</w:t>
      </w:r>
      <w:r w:rsidRPr="005C3CB3">
        <w:rPr>
          <w:rFonts w:asciiTheme="minorHAnsi" w:hAnsiTheme="minorHAnsi" w:cstheme="minorHAnsi"/>
          <w:sz w:val="21"/>
          <w:szCs w:val="21"/>
          <w:vertAlign w:val="superscript"/>
        </w:rPr>
        <w:footnoteReference w:id="24"/>
      </w:r>
    </w:p>
    <w:p w14:paraId="6693A8C6"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49BEAD77"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Stirling Council</w:t>
      </w:r>
    </w:p>
    <w:p w14:paraId="33117989"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i/>
          <w:iCs/>
          <w:sz w:val="21"/>
          <w:szCs w:val="21"/>
          <w:shd w:val="clear" w:color="auto" w:fill="FFFFFF"/>
        </w:rPr>
        <w:t>“The implementation, management and enforcement of the [licensing] process is considered particularly resource intensive for local authorities, with little guidance given around who would be expected to lead the process.”</w:t>
      </w:r>
      <w:r w:rsidRPr="005C3CB3">
        <w:rPr>
          <w:rFonts w:asciiTheme="minorHAnsi" w:hAnsiTheme="minorHAnsi" w:cstheme="minorHAnsi"/>
          <w:sz w:val="21"/>
          <w:szCs w:val="21"/>
          <w:shd w:val="clear" w:color="auto" w:fill="FFFFFF"/>
          <w:vertAlign w:val="superscript"/>
        </w:rPr>
        <w:footnoteReference w:id="25"/>
      </w:r>
    </w:p>
    <w:p w14:paraId="4070454D"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sz w:val="21"/>
          <w:szCs w:val="21"/>
          <w:shd w:val="clear" w:color="auto" w:fill="FFFFFF"/>
        </w:rPr>
        <w:t> </w:t>
      </w:r>
    </w:p>
    <w:p w14:paraId="2E1F6E38" w14:textId="77777777" w:rsidR="00360700" w:rsidRPr="005C3CB3" w:rsidRDefault="00360700" w:rsidP="002C1BF9">
      <w:pPr>
        <w:rPr>
          <w:rFonts w:asciiTheme="minorHAnsi" w:hAnsiTheme="minorHAnsi" w:cstheme="minorHAnsi"/>
          <w:sz w:val="21"/>
          <w:szCs w:val="21"/>
        </w:rPr>
      </w:pPr>
      <w:r w:rsidRPr="005C3CB3">
        <w:rPr>
          <w:rFonts w:asciiTheme="minorHAnsi" w:hAnsiTheme="minorHAnsi" w:cstheme="minorHAnsi"/>
          <w:b/>
          <w:bCs/>
          <w:sz w:val="21"/>
          <w:szCs w:val="21"/>
          <w:shd w:val="clear" w:color="auto" w:fill="FFFFFF"/>
        </w:rPr>
        <w:t>West Dunbartonshire Council</w:t>
      </w:r>
    </w:p>
    <w:p w14:paraId="38915BD0" w14:textId="1AD0A3FB" w:rsidR="00033DD9" w:rsidRPr="00093CA8" w:rsidRDefault="00360700" w:rsidP="005C3CB3">
      <w:pPr>
        <w:rPr>
          <w:rFonts w:asciiTheme="minorHAnsi" w:hAnsiTheme="minorHAnsi" w:cstheme="minorHAnsi"/>
          <w:i/>
          <w:iCs/>
          <w:sz w:val="21"/>
          <w:szCs w:val="21"/>
          <w:shd w:val="clear" w:color="auto" w:fill="FFFFFF"/>
        </w:rPr>
      </w:pPr>
      <w:r w:rsidRPr="005C3CB3">
        <w:rPr>
          <w:rFonts w:asciiTheme="minorHAnsi" w:hAnsiTheme="minorHAnsi" w:cstheme="minorHAnsi"/>
          <w:i/>
          <w:iCs/>
          <w:sz w:val="21"/>
          <w:szCs w:val="21"/>
          <w:shd w:val="clear" w:color="auto" w:fill="FFFFFF"/>
        </w:rPr>
        <w:t>“For smaller authorities with fewer short term let premises it may be difficult to fully resource an effective and efficient service without the fees being very high and thereby creating a wide and varying fee structure across the country. There is a concern about the level of Fees that a smaller Local Authority may charge where they are not dealing with a large volume of applications and have limited resources to deal with such applications. The fee structure may not be of a sufficient level to meet resource concerns and the adverse comparisons by the public as to differing fee structures around the country as can happen in Civic Government Licensing.”</w:t>
      </w:r>
      <w:r w:rsidRPr="005C3CB3">
        <w:rPr>
          <w:rFonts w:asciiTheme="minorHAnsi" w:hAnsiTheme="minorHAnsi" w:cstheme="minorHAnsi"/>
          <w:sz w:val="21"/>
          <w:szCs w:val="21"/>
          <w:shd w:val="clear" w:color="auto" w:fill="FFFFFF"/>
          <w:vertAlign w:val="superscript"/>
        </w:rPr>
        <w:footnoteReference w:id="26"/>
      </w:r>
    </w:p>
    <w:p w14:paraId="3B7C0903" w14:textId="77777777" w:rsidR="00D4355F" w:rsidRPr="00AB2DD2" w:rsidRDefault="00D4355F" w:rsidP="002C1BF9">
      <w:pPr>
        <w:rPr>
          <w:rFonts w:asciiTheme="minorHAnsi" w:hAnsiTheme="minorHAnsi" w:cstheme="minorHAnsi"/>
          <w:sz w:val="21"/>
          <w:szCs w:val="21"/>
        </w:rPr>
      </w:pPr>
    </w:p>
    <w:p w14:paraId="207298C0" w14:textId="77777777" w:rsidR="00D477AD" w:rsidRPr="00115277" w:rsidRDefault="00D477AD">
      <w:pPr>
        <w:rPr>
          <w:rFonts w:asciiTheme="minorHAnsi" w:hAnsiTheme="minorHAnsi" w:cstheme="minorHAnsi"/>
          <w:sz w:val="21"/>
          <w:szCs w:val="21"/>
        </w:rPr>
      </w:pPr>
    </w:p>
    <w:sectPr w:rsidR="00D477AD" w:rsidRPr="00115277" w:rsidSect="004148F4">
      <w:footerReference w:type="default" r:id="rId11"/>
      <w:pgSz w:w="11900" w:h="16840"/>
      <w:pgMar w:top="1342"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7D2E" w16cex:dateUtc="2021-12-14T2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99A89" w14:textId="77777777" w:rsidR="008D55BC" w:rsidRDefault="008D55BC" w:rsidP="00D477AD">
      <w:r>
        <w:separator/>
      </w:r>
    </w:p>
  </w:endnote>
  <w:endnote w:type="continuationSeparator" w:id="0">
    <w:p w14:paraId="14E5B175" w14:textId="77777777" w:rsidR="008D55BC" w:rsidRDefault="008D55BC" w:rsidP="00D4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568237"/>
      <w:docPartObj>
        <w:docPartGallery w:val="Page Numbers (Bottom of Page)"/>
        <w:docPartUnique/>
      </w:docPartObj>
    </w:sdtPr>
    <w:sdtEndPr>
      <w:rPr>
        <w:rFonts w:asciiTheme="minorHAnsi" w:hAnsiTheme="minorHAnsi" w:cstheme="minorHAnsi"/>
        <w:noProof/>
        <w:sz w:val="20"/>
        <w:szCs w:val="20"/>
      </w:rPr>
    </w:sdtEndPr>
    <w:sdtContent>
      <w:p w14:paraId="4E0D4A52" w14:textId="77777777" w:rsidR="00451C4A" w:rsidRPr="005C3CB3" w:rsidRDefault="00451C4A">
        <w:pPr>
          <w:pStyle w:val="Footer"/>
          <w:jc w:val="right"/>
          <w:rPr>
            <w:rFonts w:asciiTheme="minorHAnsi" w:hAnsiTheme="minorHAnsi" w:cstheme="minorHAnsi"/>
            <w:sz w:val="20"/>
            <w:szCs w:val="20"/>
          </w:rPr>
        </w:pPr>
        <w:r w:rsidRPr="005C3CB3">
          <w:rPr>
            <w:rFonts w:asciiTheme="minorHAnsi" w:hAnsiTheme="minorHAnsi" w:cstheme="minorHAnsi"/>
            <w:sz w:val="20"/>
            <w:szCs w:val="20"/>
          </w:rPr>
          <w:fldChar w:fldCharType="begin"/>
        </w:r>
        <w:r w:rsidRPr="005C3CB3">
          <w:rPr>
            <w:rFonts w:asciiTheme="minorHAnsi" w:hAnsiTheme="minorHAnsi" w:cstheme="minorHAnsi"/>
            <w:sz w:val="20"/>
            <w:szCs w:val="20"/>
          </w:rPr>
          <w:instrText xml:space="preserve"> PAGE   \* MERGEFORMAT </w:instrText>
        </w:r>
        <w:r w:rsidRPr="005C3CB3">
          <w:rPr>
            <w:rFonts w:asciiTheme="minorHAnsi" w:hAnsiTheme="minorHAnsi" w:cstheme="minorHAnsi"/>
            <w:sz w:val="20"/>
            <w:szCs w:val="20"/>
          </w:rPr>
          <w:fldChar w:fldCharType="separate"/>
        </w:r>
        <w:r w:rsidRPr="005C3CB3">
          <w:rPr>
            <w:rFonts w:asciiTheme="minorHAnsi" w:hAnsiTheme="minorHAnsi" w:cstheme="minorHAnsi"/>
            <w:noProof/>
            <w:sz w:val="20"/>
            <w:szCs w:val="20"/>
          </w:rPr>
          <w:t>2</w:t>
        </w:r>
        <w:r w:rsidRPr="005C3CB3">
          <w:rPr>
            <w:rFonts w:asciiTheme="minorHAnsi" w:hAnsiTheme="minorHAnsi" w:cstheme="minorHAnsi"/>
            <w:noProof/>
            <w:sz w:val="20"/>
            <w:szCs w:val="20"/>
          </w:rPr>
          <w:fldChar w:fldCharType="end"/>
        </w:r>
      </w:p>
    </w:sdtContent>
  </w:sdt>
  <w:p w14:paraId="6EE8FDD5" w14:textId="77777777" w:rsidR="00451C4A" w:rsidRDefault="0045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D1F8" w14:textId="77777777" w:rsidR="008D55BC" w:rsidRDefault="008D55BC" w:rsidP="00D477AD">
      <w:r>
        <w:separator/>
      </w:r>
    </w:p>
  </w:footnote>
  <w:footnote w:type="continuationSeparator" w:id="0">
    <w:p w14:paraId="26249CA4" w14:textId="77777777" w:rsidR="008D55BC" w:rsidRDefault="008D55BC" w:rsidP="00D477AD">
      <w:r>
        <w:continuationSeparator/>
      </w:r>
    </w:p>
  </w:footnote>
  <w:footnote w:id="1">
    <w:p w14:paraId="10618401" w14:textId="77777777" w:rsidR="00451C4A" w:rsidRPr="00647CB1"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This is evident in both the Scottish Government’s BRIA accompanying their licensing proposals, as well as City of Edinburgh Council’s plans for a</w:t>
      </w:r>
      <w:r>
        <w:rPr>
          <w:rFonts w:asciiTheme="minorHAnsi" w:hAnsiTheme="minorHAnsi" w:cstheme="minorHAnsi"/>
          <w:sz w:val="16"/>
          <w:szCs w:val="16"/>
        </w:rPr>
        <w:t xml:space="preserve"> city-wide</w:t>
      </w:r>
      <w:r w:rsidRPr="00647CB1">
        <w:rPr>
          <w:rFonts w:asciiTheme="minorHAnsi" w:hAnsiTheme="minorHAnsi" w:cstheme="minorHAnsi"/>
          <w:sz w:val="16"/>
          <w:szCs w:val="16"/>
        </w:rPr>
        <w:t xml:space="preserve"> short-term let control area.</w:t>
      </w:r>
    </w:p>
  </w:footnote>
  <w:footnote w:id="2">
    <w:p w14:paraId="0811D1AA" w14:textId="77777777" w:rsidR="00451C4A" w:rsidRPr="00647CB1"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For instance, see ASSC</w:t>
      </w:r>
      <w:r w:rsidRPr="00647CB1">
        <w:rPr>
          <w:rFonts w:asciiTheme="minorHAnsi" w:hAnsiTheme="minorHAnsi" w:cstheme="minorHAnsi"/>
          <w:i/>
          <w:iCs/>
          <w:sz w:val="16"/>
          <w:szCs w:val="16"/>
        </w:rPr>
        <w:t>, Far More Than Just Houses: The Benefits of Short-Term Rental in Scotland</w:t>
      </w:r>
      <w:r w:rsidRPr="00647CB1">
        <w:rPr>
          <w:rFonts w:asciiTheme="minorHAnsi" w:hAnsiTheme="minorHAnsi" w:cstheme="minorHAnsi"/>
          <w:sz w:val="16"/>
          <w:szCs w:val="16"/>
        </w:rPr>
        <w:t xml:space="preserve"> (2018). Url: </w:t>
      </w:r>
      <w:hyperlink r:id="rId1" w:history="1">
        <w:r w:rsidRPr="00647CB1">
          <w:rPr>
            <w:rStyle w:val="Hyperlink"/>
            <w:rFonts w:asciiTheme="minorHAnsi" w:hAnsiTheme="minorHAnsi" w:cstheme="minorHAnsi"/>
            <w:sz w:val="16"/>
            <w:szCs w:val="16"/>
          </w:rPr>
          <w:t>https://www.assc.co.uk/wp-content/uploads/2018/06/MoreThanJustHouses.pdf</w:t>
        </w:r>
      </w:hyperlink>
      <w:r w:rsidRPr="00647CB1">
        <w:rPr>
          <w:rFonts w:asciiTheme="minorHAnsi" w:hAnsiTheme="minorHAnsi" w:cstheme="minorHAnsi"/>
          <w:sz w:val="16"/>
          <w:szCs w:val="16"/>
        </w:rPr>
        <w:t xml:space="preserve">; and ASSC, </w:t>
      </w:r>
      <w:r w:rsidRPr="00647CB1">
        <w:rPr>
          <w:rFonts w:asciiTheme="minorHAnsi" w:hAnsiTheme="minorHAnsi" w:cstheme="minorHAnsi"/>
          <w:i/>
          <w:iCs/>
          <w:sz w:val="16"/>
          <w:szCs w:val="16"/>
        </w:rPr>
        <w:t>Forward Together: A Collaborative Approach to Short-Term Letting</w:t>
      </w:r>
      <w:r w:rsidRPr="00647CB1">
        <w:rPr>
          <w:rFonts w:asciiTheme="minorHAnsi" w:hAnsiTheme="minorHAnsi" w:cstheme="minorHAnsi"/>
          <w:sz w:val="16"/>
          <w:szCs w:val="16"/>
        </w:rPr>
        <w:t xml:space="preserve"> (2020). Url: </w:t>
      </w:r>
      <w:hyperlink r:id="rId2" w:history="1">
        <w:r w:rsidRPr="00647CB1">
          <w:rPr>
            <w:rStyle w:val="Hyperlink"/>
            <w:rFonts w:asciiTheme="minorHAnsi" w:hAnsiTheme="minorHAnsi" w:cstheme="minorHAnsi"/>
            <w:sz w:val="16"/>
            <w:szCs w:val="16"/>
          </w:rPr>
          <w:t>https://www.assc.co.uk/wp-content/uploads/2020/12/2020_ForwardTogether.pdf</w:t>
        </w:r>
      </w:hyperlink>
    </w:p>
  </w:footnote>
  <w:footnote w:id="3">
    <w:p w14:paraId="2EA51C2F" w14:textId="77777777" w:rsidR="00451C4A" w:rsidRPr="005C3CB3" w:rsidRDefault="00451C4A" w:rsidP="00403EDB">
      <w:pPr>
        <w:pStyle w:val="FootnoteText"/>
        <w:rPr>
          <w:rFonts w:asciiTheme="minorHAnsi" w:hAnsiTheme="minorHAnsi" w:cstheme="minorHAnsi"/>
          <w:sz w:val="16"/>
          <w:szCs w:val="16"/>
        </w:rPr>
      </w:pPr>
      <w:r w:rsidRPr="00647CB1">
        <w:rPr>
          <w:rStyle w:val="FootnoteReference"/>
          <w:rFonts w:asciiTheme="minorHAnsi" w:hAnsiTheme="minorHAnsi" w:cstheme="minorHAnsi"/>
          <w:sz w:val="16"/>
          <w:szCs w:val="16"/>
        </w:rPr>
        <w:footnoteRef/>
      </w:r>
      <w:r w:rsidRPr="00647CB1">
        <w:rPr>
          <w:rFonts w:asciiTheme="minorHAnsi" w:hAnsiTheme="minorHAnsi" w:cstheme="minorHAnsi"/>
          <w:sz w:val="16"/>
          <w:szCs w:val="16"/>
        </w:rPr>
        <w:t xml:space="preserve"> </w:t>
      </w:r>
      <w:hyperlink r:id="rId3" w:history="1">
        <w:r w:rsidRPr="00647CB1">
          <w:rPr>
            <w:rStyle w:val="Hyperlink"/>
            <w:rFonts w:asciiTheme="minorHAnsi" w:hAnsiTheme="minorHAnsi" w:cstheme="minorHAnsi"/>
            <w:sz w:val="16"/>
            <w:szCs w:val="16"/>
          </w:rPr>
          <w: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w:t>
        </w:r>
      </w:hyperlink>
      <w:r w:rsidRPr="005C3CB3">
        <w:rPr>
          <w:rFonts w:asciiTheme="minorHAnsi" w:hAnsiTheme="minorHAnsi" w:cstheme="minorHAnsi"/>
          <w:sz w:val="16"/>
          <w:szCs w:val="16"/>
        </w:rPr>
        <w:t xml:space="preserve"> </w:t>
      </w:r>
    </w:p>
  </w:footnote>
  <w:footnote w:id="4">
    <w:p w14:paraId="0F36FE1C" w14:textId="77777777" w:rsidR="00451C4A" w:rsidRPr="00AB2DD2" w:rsidRDefault="00451C4A">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r w:rsidRPr="005C3CB3">
        <w:rPr>
          <w:rFonts w:asciiTheme="minorHAnsi" w:eastAsiaTheme="minorHAnsi" w:hAnsiTheme="minorHAnsi" w:cstheme="minorHAnsi"/>
          <w:sz w:val="16"/>
          <w:szCs w:val="16"/>
        </w:rPr>
        <w:t xml:space="preserve">Airbnb, </w:t>
      </w:r>
      <w:r w:rsidRPr="005C3CB3">
        <w:rPr>
          <w:rFonts w:asciiTheme="minorHAnsi" w:eastAsiaTheme="minorHAnsi" w:hAnsiTheme="minorHAnsi" w:cstheme="minorHAnsi"/>
          <w:i/>
          <w:iCs/>
          <w:sz w:val="16"/>
          <w:szCs w:val="16"/>
        </w:rPr>
        <w:t>Short-term Lets Registration White Paper</w:t>
      </w:r>
      <w:r w:rsidRPr="005C3CB3">
        <w:rPr>
          <w:rFonts w:asciiTheme="minorHAnsi" w:eastAsiaTheme="minorHAnsi" w:hAnsiTheme="minorHAnsi" w:cstheme="minorHAnsi"/>
          <w:sz w:val="16"/>
          <w:szCs w:val="16"/>
        </w:rPr>
        <w:t xml:space="preserve"> (2021). Url: </w:t>
      </w:r>
      <w:hyperlink r:id="rId4" w:history="1">
        <w:r w:rsidRPr="005C3CB3">
          <w:rPr>
            <w:rFonts w:asciiTheme="minorHAnsi" w:eastAsiaTheme="minorHAnsi" w:hAnsiTheme="minorHAnsi" w:cstheme="minorHAnsi"/>
            <w:color w:val="0563C1" w:themeColor="hyperlink"/>
            <w:sz w:val="16"/>
            <w:szCs w:val="16"/>
            <w:u w:val="single"/>
          </w:rPr>
          <w:t>https://news.airbnb.com/wp-content/uploads/sites/4/2021/06/UK_RegistrationWhitepaper_2021.pdf?_ga=2.58889198.2135609438.1634834161-1390504533.1634834161</w:t>
        </w:r>
      </w:hyperlink>
    </w:p>
  </w:footnote>
  <w:footnote w:id="5">
    <w:p w14:paraId="4BBF3324" w14:textId="77777777" w:rsidR="00451C4A" w:rsidRPr="005C3CB3" w:rsidRDefault="00451C4A" w:rsidP="00403EDB">
      <w:pPr>
        <w:pStyle w:val="FootnoteText"/>
        <w:rPr>
          <w:rFonts w:asciiTheme="minorHAnsi" w:hAnsiTheme="minorHAnsi" w:cstheme="minorHAnsi"/>
          <w:sz w:val="16"/>
          <w:szCs w:val="16"/>
        </w:rPr>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Parliamentary answer to S6W-02111. Url: </w:t>
      </w:r>
      <w:hyperlink r:id="rId5" w:history="1">
        <w:r w:rsidRPr="005C3CB3">
          <w:rPr>
            <w:rStyle w:val="Hyperlink"/>
            <w:rFonts w:asciiTheme="minorHAnsi" w:hAnsiTheme="minorHAnsi" w:cstheme="minorHAnsi"/>
            <w:sz w:val="16"/>
            <w:szCs w:val="16"/>
          </w:rPr>
          <w:t>https://www.parliament.scot/chamber-and-committees/written-questions-and-answers/question?ref=S6W-02111</w:t>
        </w:r>
      </w:hyperlink>
      <w:r w:rsidRPr="005C3CB3">
        <w:rPr>
          <w:rFonts w:asciiTheme="minorHAnsi" w:hAnsiTheme="minorHAnsi" w:cstheme="minorHAnsi"/>
          <w:sz w:val="16"/>
          <w:szCs w:val="16"/>
        </w:rPr>
        <w:t xml:space="preserve"> </w:t>
      </w:r>
    </w:p>
  </w:footnote>
  <w:footnote w:id="6">
    <w:p w14:paraId="0119C40C" w14:textId="77777777" w:rsidR="00451C4A" w:rsidRDefault="00451C4A" w:rsidP="00403EDB">
      <w:pPr>
        <w:pStyle w:val="FootnoteText"/>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Parliamentary answer to S6W-02109. Url: </w:t>
      </w:r>
      <w:hyperlink r:id="rId6" w:history="1">
        <w:r w:rsidRPr="005C3CB3">
          <w:rPr>
            <w:rStyle w:val="Hyperlink"/>
            <w:rFonts w:asciiTheme="minorHAnsi" w:hAnsiTheme="minorHAnsi" w:cstheme="minorHAnsi"/>
            <w:sz w:val="16"/>
            <w:szCs w:val="16"/>
          </w:rPr>
          <w:t>https://www.parliament.scot/chamber-and-committees/written-questions-and-answers/question?ref=S6W-02109</w:t>
        </w:r>
      </w:hyperlink>
      <w:r>
        <w:t xml:space="preserve"> </w:t>
      </w:r>
    </w:p>
  </w:footnote>
  <w:footnote w:id="7">
    <w:p w14:paraId="5482BD46" w14:textId="77777777" w:rsidR="00451C4A" w:rsidRPr="009578BA" w:rsidRDefault="00451C4A" w:rsidP="00033DD9">
      <w:pPr>
        <w:pStyle w:val="FootnoteText"/>
        <w:rPr>
          <w:rFonts w:asciiTheme="minorHAnsi" w:hAnsiTheme="minorHAnsi"/>
          <w:sz w:val="16"/>
          <w:szCs w:val="16"/>
        </w:rPr>
      </w:pPr>
      <w:r w:rsidRPr="009578BA">
        <w:rPr>
          <w:rStyle w:val="FootnoteReference"/>
          <w:rFonts w:asciiTheme="minorHAnsi" w:hAnsiTheme="minorHAnsi"/>
          <w:sz w:val="16"/>
          <w:szCs w:val="16"/>
        </w:rPr>
        <w:footnoteRef/>
      </w:r>
      <w:r w:rsidRPr="009578BA">
        <w:rPr>
          <w:rFonts w:asciiTheme="minorHAnsi" w:hAnsiTheme="minorHAnsi"/>
          <w:sz w:val="16"/>
          <w:szCs w:val="16"/>
        </w:rPr>
        <w:t xml:space="preserve"> </w:t>
      </w:r>
      <w:hyperlink r:id="rId7" w:history="1">
        <w:r w:rsidRPr="00A0087D">
          <w:rPr>
            <w:rStyle w:val="Hyperlink"/>
            <w:rFonts w:asciiTheme="minorHAnsi" w:hAnsiTheme="minorHAnsi"/>
            <w:sz w:val="16"/>
            <w:szCs w:val="16"/>
          </w:rPr>
          <w:t>https://www.gov.scot/publications/practical-fire-safety-guidance-existing-premises-sleeping-accommodation/</w:t>
        </w:r>
      </w:hyperlink>
      <w:r>
        <w:rPr>
          <w:rFonts w:asciiTheme="minorHAnsi" w:hAnsiTheme="minorHAnsi"/>
          <w:sz w:val="16"/>
          <w:szCs w:val="16"/>
        </w:rPr>
        <w:t xml:space="preserve"> </w:t>
      </w:r>
    </w:p>
  </w:footnote>
  <w:footnote w:id="8">
    <w:p w14:paraId="36A41A1F" w14:textId="77777777" w:rsidR="00451C4A" w:rsidRPr="00714521" w:rsidRDefault="00451C4A" w:rsidP="00033DD9">
      <w:pPr>
        <w:pStyle w:val="FootnoteText"/>
        <w:rPr>
          <w:rFonts w:asciiTheme="minorHAnsi" w:hAnsiTheme="minorHAnsi"/>
          <w:color w:val="000000" w:themeColor="text1"/>
          <w:sz w:val="16"/>
          <w:szCs w:val="16"/>
        </w:rPr>
      </w:pPr>
      <w:r w:rsidRPr="00714521">
        <w:rPr>
          <w:rStyle w:val="FootnoteReference"/>
          <w:rFonts w:asciiTheme="minorHAnsi" w:hAnsiTheme="minorHAnsi"/>
          <w:color w:val="000000" w:themeColor="text1"/>
          <w:sz w:val="16"/>
          <w:szCs w:val="16"/>
        </w:rPr>
        <w:footnoteRef/>
      </w:r>
      <w:r w:rsidRPr="00714521">
        <w:rPr>
          <w:rFonts w:asciiTheme="minorHAnsi" w:hAnsiTheme="minorHAnsi"/>
          <w:color w:val="000000" w:themeColor="text1"/>
          <w:sz w:val="16"/>
          <w:szCs w:val="16"/>
        </w:rPr>
        <w:t xml:space="preserve"> </w:t>
      </w:r>
      <w:hyperlink r:id="rId8" w:history="1">
        <w:r w:rsidRPr="00A0087D">
          <w:rPr>
            <w:rStyle w:val="Hyperlink"/>
            <w:rFonts w:asciiTheme="minorHAnsi" w:hAnsiTheme="minorHAnsi"/>
            <w:sz w:val="16"/>
            <w:szCs w:val="16"/>
          </w:rPr>
          <w:t>https://www.hse.gov.uk/pubns/indg231.pdf</w:t>
        </w:r>
      </w:hyperlink>
      <w:r>
        <w:rPr>
          <w:rFonts w:asciiTheme="minorHAnsi" w:hAnsiTheme="minorHAnsi"/>
          <w:color w:val="000000" w:themeColor="text1"/>
          <w:sz w:val="16"/>
          <w:szCs w:val="16"/>
        </w:rPr>
        <w:t xml:space="preserve"> </w:t>
      </w:r>
    </w:p>
  </w:footnote>
  <w:footnote w:id="9">
    <w:p w14:paraId="508AE796" w14:textId="77777777" w:rsidR="00451C4A" w:rsidRDefault="00451C4A" w:rsidP="00033DD9">
      <w:pPr>
        <w:pStyle w:val="FootnoteText"/>
      </w:pPr>
      <w:r w:rsidRPr="00714521">
        <w:rPr>
          <w:rStyle w:val="FootnoteReference"/>
          <w:rFonts w:asciiTheme="minorHAnsi" w:hAnsiTheme="minorHAnsi"/>
          <w:color w:val="000000" w:themeColor="text1"/>
          <w:sz w:val="16"/>
          <w:szCs w:val="16"/>
        </w:rPr>
        <w:footnoteRef/>
      </w:r>
      <w:r w:rsidRPr="00714521">
        <w:rPr>
          <w:rFonts w:asciiTheme="minorHAnsi" w:hAnsiTheme="minorHAnsi"/>
          <w:color w:val="000000" w:themeColor="text1"/>
          <w:sz w:val="16"/>
          <w:szCs w:val="16"/>
        </w:rPr>
        <w:t xml:space="preserve"> </w:t>
      </w:r>
      <w:hyperlink r:id="rId9" w:history="1">
        <w:r w:rsidRPr="005C3CB3">
          <w:rPr>
            <w:rStyle w:val="Hyperlink"/>
            <w:rFonts w:asciiTheme="minorHAnsi" w:hAnsiTheme="minorHAnsi"/>
            <w:sz w:val="16"/>
            <w:szCs w:val="16"/>
          </w:rPr>
          <w:t>www.hse.gov.uk/legionnaires/spa-pools.htm</w:t>
        </w:r>
      </w:hyperlink>
    </w:p>
  </w:footnote>
  <w:footnote w:id="10">
    <w:p w14:paraId="7BE3348A"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10" w:history="1">
        <w:r w:rsidRPr="00A0087D">
          <w:rPr>
            <w:rStyle w:val="Hyperlink"/>
            <w:rFonts w:asciiTheme="minorHAnsi" w:hAnsiTheme="minorHAnsi"/>
            <w:sz w:val="16"/>
            <w:szCs w:val="16"/>
          </w:rPr>
          <w:t>https://www.assc.co.uk/policy/cleaning-protocols-for-self-catering-properties-in-the-context-of-covid-19/</w:t>
        </w:r>
      </w:hyperlink>
      <w:r>
        <w:rPr>
          <w:rFonts w:asciiTheme="minorHAnsi" w:hAnsiTheme="minorHAnsi"/>
          <w:sz w:val="16"/>
          <w:szCs w:val="16"/>
        </w:rPr>
        <w:t xml:space="preserve"> </w:t>
      </w:r>
    </w:p>
  </w:footnote>
  <w:footnote w:id="11">
    <w:p w14:paraId="5663842C"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11" w:history="1">
        <w:r w:rsidRPr="00A0087D">
          <w:rPr>
            <w:rStyle w:val="Hyperlink"/>
            <w:rFonts w:asciiTheme="minorHAnsi" w:hAnsiTheme="minorHAnsi"/>
            <w:sz w:val="16"/>
            <w:szCs w:val="16"/>
          </w:rPr>
          <w:t>https://www.qualityintourism.com/quality-assessment/safe-clean-and-legal</w:t>
        </w:r>
      </w:hyperlink>
      <w:r>
        <w:rPr>
          <w:rFonts w:asciiTheme="minorHAnsi" w:hAnsiTheme="minorHAnsi"/>
          <w:sz w:val="16"/>
          <w:szCs w:val="16"/>
        </w:rPr>
        <w:t xml:space="preserve"> </w:t>
      </w:r>
    </w:p>
  </w:footnote>
  <w:footnote w:id="12">
    <w:p w14:paraId="42D27782"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12" w:history="1">
        <w:r w:rsidRPr="00A0087D">
          <w:rPr>
            <w:rStyle w:val="Hyperlink"/>
            <w:rFonts w:asciiTheme="minorHAnsi" w:hAnsiTheme="minorHAnsi"/>
            <w:sz w:val="16"/>
            <w:szCs w:val="16"/>
          </w:rPr>
          <w:t>https://www.assc.co.uk/policy/code-of-conduct/</w:t>
        </w:r>
      </w:hyperlink>
      <w:r>
        <w:rPr>
          <w:rFonts w:asciiTheme="minorHAnsi" w:hAnsiTheme="minorHAnsi"/>
          <w:sz w:val="16"/>
          <w:szCs w:val="16"/>
        </w:rPr>
        <w:t xml:space="preserve"> </w:t>
      </w:r>
    </w:p>
  </w:footnote>
  <w:footnote w:id="13">
    <w:p w14:paraId="1F3F82CE" w14:textId="77777777" w:rsidR="00451C4A" w:rsidRPr="00F12D5B" w:rsidRDefault="00451C4A" w:rsidP="00033DD9">
      <w:pPr>
        <w:pStyle w:val="FootnoteText"/>
        <w:rPr>
          <w:rFonts w:asciiTheme="minorHAnsi" w:hAnsiTheme="minorHAnsi"/>
          <w:sz w:val="16"/>
          <w:szCs w:val="16"/>
        </w:rPr>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13" w:history="1">
        <w:r w:rsidRPr="005C3CB3">
          <w:rPr>
            <w:rStyle w:val="Hyperlink"/>
            <w:rFonts w:asciiTheme="minorHAnsi" w:hAnsiTheme="minorHAnsi"/>
            <w:sz w:val="15"/>
            <w:szCs w:val="15"/>
          </w:rPr>
          <w:t>https://static1.squarespace.com/static/592576e4b8a79b7c470261cb/t/5e7b83e9223c2f20ac35c9d8/1585153001941/STAA+code+of+conduct+-+June+2019.pdf</w:t>
        </w:r>
      </w:hyperlink>
      <w:r>
        <w:rPr>
          <w:rFonts w:asciiTheme="minorHAnsi" w:hAnsiTheme="minorHAnsi"/>
          <w:sz w:val="16"/>
          <w:szCs w:val="16"/>
        </w:rPr>
        <w:t xml:space="preserve"> </w:t>
      </w:r>
    </w:p>
  </w:footnote>
  <w:footnote w:id="14">
    <w:p w14:paraId="6289E4BD" w14:textId="77777777" w:rsidR="00451C4A" w:rsidRDefault="00451C4A" w:rsidP="00033DD9">
      <w:pPr>
        <w:pStyle w:val="FootnoteText"/>
      </w:pPr>
      <w:r w:rsidRPr="00F12D5B">
        <w:rPr>
          <w:rStyle w:val="FootnoteReference"/>
          <w:rFonts w:asciiTheme="minorHAnsi" w:hAnsiTheme="minorHAnsi"/>
          <w:sz w:val="16"/>
          <w:szCs w:val="16"/>
        </w:rPr>
        <w:footnoteRef/>
      </w:r>
      <w:r w:rsidRPr="00F12D5B">
        <w:rPr>
          <w:rFonts w:asciiTheme="minorHAnsi" w:hAnsiTheme="minorHAnsi"/>
          <w:sz w:val="16"/>
          <w:szCs w:val="16"/>
        </w:rPr>
        <w:t xml:space="preserve"> </w:t>
      </w:r>
      <w:hyperlink r:id="rId14" w:history="1">
        <w:r w:rsidRPr="00A0087D">
          <w:rPr>
            <w:rStyle w:val="Hyperlink"/>
            <w:rFonts w:asciiTheme="minorHAnsi" w:hAnsiTheme="minorHAnsi"/>
            <w:sz w:val="16"/>
            <w:szCs w:val="16"/>
          </w:rPr>
          <w:t>https://www.gov.scot/publications/energy-performance-certificates-for-holiday-lets-guidance/</w:t>
        </w:r>
      </w:hyperlink>
      <w:r>
        <w:rPr>
          <w:rFonts w:asciiTheme="minorHAnsi" w:hAnsiTheme="minorHAnsi"/>
          <w:sz w:val="16"/>
          <w:szCs w:val="16"/>
        </w:rPr>
        <w:t xml:space="preserve"> </w:t>
      </w:r>
    </w:p>
  </w:footnote>
  <w:footnote w:id="15">
    <w:p w14:paraId="5F190093" w14:textId="77777777" w:rsidR="00451C4A" w:rsidRPr="00F007EC" w:rsidRDefault="00451C4A" w:rsidP="00033DD9">
      <w:pPr>
        <w:pStyle w:val="FootnoteText"/>
        <w:rPr>
          <w:rFonts w:asciiTheme="minorHAnsi" w:hAnsiTheme="minorHAnsi" w:cstheme="minorHAnsi"/>
          <w:sz w:val="16"/>
          <w:szCs w:val="16"/>
        </w:rPr>
      </w:pPr>
      <w:r w:rsidRPr="00F007EC">
        <w:rPr>
          <w:rStyle w:val="FootnoteReference"/>
          <w:rFonts w:asciiTheme="minorHAnsi" w:hAnsiTheme="minorHAnsi" w:cstheme="minorHAnsi"/>
          <w:sz w:val="16"/>
          <w:szCs w:val="16"/>
        </w:rPr>
        <w:footnoteRef/>
      </w:r>
      <w:r w:rsidRPr="00F007EC">
        <w:rPr>
          <w:rFonts w:asciiTheme="minorHAnsi" w:hAnsiTheme="minorHAnsi" w:cstheme="minorHAnsi"/>
          <w:sz w:val="16"/>
          <w:szCs w:val="16"/>
        </w:rPr>
        <w:t xml:space="preserve"> </w:t>
      </w:r>
      <w:hyperlink r:id="rId15" w:history="1">
        <w:r w:rsidRPr="00F007EC">
          <w:rPr>
            <w:rStyle w:val="Hyperlink"/>
            <w:rFonts w:asciiTheme="minorHAnsi" w:hAnsiTheme="minorHAnsi" w:cstheme="minorHAnsi"/>
            <w:sz w:val="16"/>
            <w:szCs w:val="16"/>
          </w:rPr>
          <w:t>https://www.googleadservices.com/pagead/aclk?sa=L&amp;ai=DChcSEwil5v7y-4T0AhWRuu0KHeGqD1cYABAAGgJkZw&amp;ae=2&amp;ohost=www.google.com&amp;cid=CAESQOD2B_vfMcJThw4lerUmXRT28Y98i4UQJ-RTSeBcCsFzh6TfhPgbkmK5El8n_lM_Cru7yWjw7fJgYuwZN-DfzcI&amp;sig=AOD64_0uMb3R5IK-mF_3QouvRk5ERwNKtQ&amp;q&amp;adurl&amp;ved=2ahUKEwix0ffy-4T0AhVTSsAKHUieD2IQ0Qx6BAgCEAE&amp;dct=1</w:t>
        </w:r>
      </w:hyperlink>
      <w:r w:rsidRPr="00F007EC">
        <w:rPr>
          <w:rFonts w:asciiTheme="minorHAnsi" w:hAnsiTheme="minorHAnsi" w:cstheme="minorHAnsi"/>
          <w:sz w:val="16"/>
          <w:szCs w:val="16"/>
        </w:rPr>
        <w:t xml:space="preserve"> </w:t>
      </w:r>
    </w:p>
  </w:footnote>
  <w:footnote w:id="16">
    <w:p w14:paraId="5D37E00B" w14:textId="77777777" w:rsidR="00451C4A" w:rsidRDefault="00451C4A" w:rsidP="00033DD9">
      <w:pPr>
        <w:pStyle w:val="FootnoteText"/>
      </w:pPr>
      <w:r w:rsidRPr="005C3CB3">
        <w:rPr>
          <w:rStyle w:val="FootnoteReference"/>
          <w:rFonts w:asciiTheme="minorHAnsi" w:hAnsiTheme="minorHAnsi" w:cstheme="minorHAnsi"/>
          <w:sz w:val="16"/>
          <w:szCs w:val="16"/>
        </w:rPr>
        <w:footnoteRef/>
      </w:r>
      <w:r w:rsidRPr="005C3CB3">
        <w:rPr>
          <w:rFonts w:asciiTheme="minorHAnsi" w:hAnsiTheme="minorHAnsi" w:cstheme="minorHAnsi"/>
          <w:sz w:val="16"/>
          <w:szCs w:val="16"/>
        </w:rPr>
        <w:t xml:space="preserve"> </w:t>
      </w:r>
      <w:hyperlink r:id="rId16" w:history="1">
        <w:r w:rsidRPr="005C3CB3">
          <w:rPr>
            <w:rStyle w:val="Hyperlink"/>
            <w:rFonts w:asciiTheme="minorHAnsi" w:hAnsiTheme="minorHAnsi" w:cstheme="minorHAnsi"/>
            <w:sz w:val="16"/>
            <w:szCs w:val="16"/>
          </w:rPr>
          <w:t>https://www.themplc.co.uk</w:t>
        </w:r>
      </w:hyperlink>
      <w:r>
        <w:t xml:space="preserve"> </w:t>
      </w:r>
    </w:p>
  </w:footnote>
  <w:footnote w:id="17">
    <w:p w14:paraId="439ADB44" w14:textId="77777777" w:rsidR="00451C4A" w:rsidRPr="004D1930"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7"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https://consult.gov.scot/housing-services-policy-unit/short-term-lets-licensing-scheme/consultation/view_respondent?_b_index=900&amp;uuId=552786991</w:t>
        </w:r>
      </w:hyperlink>
    </w:p>
  </w:footnote>
  <w:footnote w:id="18">
    <w:p w14:paraId="26DA8E4E" w14:textId="77777777" w:rsidR="00451C4A" w:rsidRPr="008279DE"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8"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https://consult.gov.scot/housing-services-policy-unit/short-term-lets-licensing-scheme/consultation/view_respondent?_b_index=480&amp;uuId=738532527</w:t>
        </w:r>
      </w:hyperlink>
    </w:p>
  </w:footnote>
  <w:footnote w:id="19">
    <w:p w14:paraId="29920E92" w14:textId="77777777" w:rsidR="00451C4A" w:rsidRPr="005C3CB3" w:rsidRDefault="00451C4A" w:rsidP="005C3CB3">
      <w:pPr>
        <w:rPr>
          <w:rFonts w:asciiTheme="minorHAnsi" w:hAnsiTheme="minorHAnsi" w:cs="Calibri"/>
          <w:color w:val="000000" w:themeColor="text1"/>
          <w:sz w:val="16"/>
          <w:szCs w:val="16"/>
        </w:rPr>
      </w:pPr>
      <w:r w:rsidRPr="003A39D1">
        <w:rPr>
          <w:rStyle w:val="FootnoteReference"/>
          <w:rFonts w:asciiTheme="minorHAnsi" w:hAnsiTheme="minorHAnsi"/>
          <w:color w:val="000000" w:themeColor="text1"/>
          <w:sz w:val="16"/>
          <w:szCs w:val="16"/>
        </w:rPr>
        <w:footnoteRef/>
      </w:r>
      <w:r w:rsidRPr="003A39D1">
        <w:rPr>
          <w:rFonts w:asciiTheme="minorHAnsi" w:hAnsiTheme="minorHAnsi"/>
          <w:color w:val="000000" w:themeColor="text1"/>
          <w:sz w:val="16"/>
          <w:szCs w:val="16"/>
        </w:rPr>
        <w:t xml:space="preserve"> </w:t>
      </w:r>
      <w:hyperlink r:id="rId19" w:history="1">
        <w:r w:rsidRPr="00B760C5">
          <w:rPr>
            <w:rStyle w:val="Hyperlink"/>
            <w:rFonts w:asciiTheme="minorHAnsi" w:hAnsiTheme="minorHAnsi" w:cs="Calibri"/>
            <w:sz w:val="16"/>
            <w:szCs w:val="16"/>
          </w:rPr>
          <w:t>https://consult.gov.scot/housing-services-policy-unit/short-term-lets-licensing-scheme/consultation/view_respondent?show_all_questions=0&amp;sort=submitted&amp;order=ascending&amp;_q__text=borders&amp;uuId=648059965</w:t>
        </w:r>
      </w:hyperlink>
    </w:p>
  </w:footnote>
  <w:footnote w:id="20">
    <w:p w14:paraId="6345AE69" w14:textId="77777777" w:rsidR="00451C4A" w:rsidRPr="008279DE"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0"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https://consult.gov.scot/housing-services-policy-unit/short-term-lets-licensing-scheme/consultation/view_respondent?_b_index=780&amp;uuId=458288928</w:t>
        </w:r>
      </w:hyperlink>
    </w:p>
  </w:footnote>
  <w:footnote w:id="21">
    <w:p w14:paraId="0340D4E7" w14:textId="77777777" w:rsidR="00451C4A" w:rsidRPr="004D1930"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1"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https://consult.gov.scot/housing-services-policy-unit/short-term-lets-licensing-scheme/consultation/view_respondent?_b_index=900&amp;uuId=52867059</w:t>
        </w:r>
      </w:hyperlink>
    </w:p>
  </w:footnote>
  <w:footnote w:id="22">
    <w:p w14:paraId="693464D4" w14:textId="77777777" w:rsidR="00451C4A" w:rsidRPr="005C3CB3" w:rsidRDefault="00451C4A" w:rsidP="005C3CB3">
      <w:pPr>
        <w:rPr>
          <w:rFonts w:asciiTheme="minorHAnsi" w:hAnsiTheme="minorHAnsi" w:cs="Calibri"/>
          <w:color w:val="000000" w:themeColor="text1"/>
          <w:sz w:val="16"/>
          <w:szCs w:val="16"/>
        </w:rPr>
      </w:pPr>
      <w:r w:rsidRPr="0077559D">
        <w:rPr>
          <w:rStyle w:val="FootnoteReference"/>
          <w:rFonts w:asciiTheme="minorHAnsi" w:hAnsiTheme="minorHAnsi"/>
          <w:color w:val="000000" w:themeColor="text1"/>
          <w:sz w:val="16"/>
          <w:szCs w:val="16"/>
        </w:rPr>
        <w:footnoteRef/>
      </w:r>
      <w:r w:rsidRPr="0077559D">
        <w:rPr>
          <w:rFonts w:asciiTheme="minorHAnsi" w:hAnsiTheme="minorHAnsi"/>
          <w:color w:val="000000" w:themeColor="text1"/>
          <w:sz w:val="16"/>
          <w:szCs w:val="16"/>
        </w:rPr>
        <w:t xml:space="preserve"> </w:t>
      </w:r>
      <w:hyperlink r:id="rId22"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https://consult.gov.scot/housing-services-policy-unit/short-term-lets-licensing-scheme/consultation/view_respondent?_b_index=840&amp;uuId=880423694</w:t>
        </w:r>
      </w:hyperlink>
      <w:r>
        <w:rPr>
          <w:rFonts w:asciiTheme="minorHAnsi" w:hAnsiTheme="minorHAnsi" w:cs="Calibri"/>
          <w:color w:val="000000" w:themeColor="text1"/>
          <w:sz w:val="16"/>
          <w:szCs w:val="16"/>
          <w:u w:val="single"/>
          <w:shd w:val="clear" w:color="auto" w:fill="FFFFFF"/>
        </w:rPr>
        <w:t xml:space="preserve"> </w:t>
      </w:r>
    </w:p>
  </w:footnote>
  <w:footnote w:id="23">
    <w:p w14:paraId="1A0CFABA" w14:textId="77777777" w:rsidR="00451C4A" w:rsidRPr="00206BAB" w:rsidRDefault="00451C4A" w:rsidP="005C3CB3">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3"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https://consult.gov.scot/housing-services-policy-unit/short-term-lets-licensing-scheme/consultation/view_respondent?_b_index=780&amp;uuId=560815682</w:t>
        </w:r>
      </w:hyperlink>
      <w:r>
        <w:rPr>
          <w:rFonts w:asciiTheme="minorHAnsi" w:hAnsiTheme="minorHAnsi" w:cs="Calibri"/>
          <w:color w:val="000000" w:themeColor="text1"/>
          <w:sz w:val="16"/>
          <w:szCs w:val="16"/>
          <w:u w:val="single"/>
          <w:shd w:val="clear" w:color="auto" w:fill="FFFFFF"/>
        </w:rPr>
        <w:t xml:space="preserve"> </w:t>
      </w:r>
    </w:p>
  </w:footnote>
  <w:footnote w:id="24">
    <w:p w14:paraId="7EFB76A7" w14:textId="77777777" w:rsidR="00451C4A" w:rsidRPr="00206BAB" w:rsidRDefault="00451C4A" w:rsidP="005C3CB3">
      <w:pPr>
        <w:rPr>
          <w:rFonts w:asciiTheme="minorHAnsi" w:hAnsiTheme="minorHAnsi" w:cs="Calibri"/>
          <w:color w:val="000000" w:themeColor="text1"/>
          <w:sz w:val="16"/>
          <w:szCs w:val="16"/>
        </w:rPr>
      </w:pPr>
      <w:r w:rsidRPr="009D3C37">
        <w:rPr>
          <w:rStyle w:val="FootnoteReference"/>
          <w:rFonts w:asciiTheme="minorHAnsi" w:hAnsiTheme="minorHAnsi"/>
          <w:color w:val="000000" w:themeColor="text1"/>
          <w:sz w:val="16"/>
          <w:szCs w:val="16"/>
        </w:rPr>
        <w:footnoteRef/>
      </w:r>
      <w:r w:rsidRPr="009D3C37">
        <w:rPr>
          <w:rFonts w:asciiTheme="minorHAnsi" w:hAnsiTheme="minorHAnsi"/>
          <w:color w:val="000000" w:themeColor="text1"/>
          <w:sz w:val="16"/>
          <w:szCs w:val="16"/>
        </w:rPr>
        <w:t xml:space="preserve"> </w:t>
      </w:r>
      <w:hyperlink r:id="rId24" w:history="1">
        <w:r w:rsidRPr="00B760C5">
          <w:rPr>
            <w:rStyle w:val="Hyperlink"/>
            <w:rFonts w:asciiTheme="minorHAnsi" w:hAnsiTheme="minorHAnsi" w:cs="Calibri"/>
            <w:sz w:val="16"/>
            <w:szCs w:val="16"/>
            <w:shd w:val="clear" w:color="auto" w:fill="FFFFFF"/>
          </w:rPr>
          <w:t>https://consult.gov.scot/housing-services-policy-unit/short-term-lets-licensing-scheme/consultation/view_respondent?_b_index=900&amp;uuId=900902345</w:t>
        </w:r>
      </w:hyperlink>
    </w:p>
  </w:footnote>
  <w:footnote w:id="25">
    <w:p w14:paraId="1003D0A5" w14:textId="77777777" w:rsidR="00451C4A" w:rsidRPr="008279DE" w:rsidRDefault="00451C4A" w:rsidP="005C3CB3">
      <w:pPr>
        <w:rPr>
          <w:rFonts w:asciiTheme="minorHAnsi" w:hAnsiTheme="minorHAnsi" w:cstheme="minorHAnsi"/>
          <w:color w:val="000000" w:themeColor="text1"/>
          <w:sz w:val="16"/>
          <w:szCs w:val="16"/>
        </w:rPr>
      </w:pPr>
      <w:r w:rsidRPr="008279DE">
        <w:rPr>
          <w:rStyle w:val="FootnoteReference"/>
          <w:rFonts w:asciiTheme="minorHAnsi" w:hAnsiTheme="minorHAnsi" w:cstheme="minorHAnsi"/>
          <w:color w:val="000000" w:themeColor="text1"/>
          <w:sz w:val="16"/>
          <w:szCs w:val="16"/>
        </w:rPr>
        <w:footnoteRef/>
      </w:r>
      <w:r w:rsidRPr="008279DE">
        <w:rPr>
          <w:rFonts w:asciiTheme="minorHAnsi" w:hAnsiTheme="minorHAnsi" w:cstheme="minorHAnsi"/>
          <w:color w:val="000000" w:themeColor="text1"/>
          <w:sz w:val="16"/>
          <w:szCs w:val="16"/>
        </w:rPr>
        <w:t xml:space="preserve"> </w:t>
      </w:r>
      <w:hyperlink r:id="rId25" w:history="1">
        <w:r w:rsidRPr="008279DE">
          <w:rPr>
            <w:rStyle w:val="Hyperlink"/>
            <w:rFonts w:asciiTheme="minorHAnsi" w:hAnsiTheme="minorHAnsi" w:cstheme="minorHAnsi"/>
            <w:sz w:val="16"/>
            <w:szCs w:val="16"/>
            <w:shd w:val="clear" w:color="auto" w:fill="FFFFFF"/>
          </w:rPr>
          <w:t>https://consult.gov.scot/housing-services-policy-unit/short-term-lets-licensing-scheme/consultation/view_respondent?_b_index=900&amp;uuId=465853950</w:t>
        </w:r>
      </w:hyperlink>
    </w:p>
  </w:footnote>
  <w:footnote w:id="26">
    <w:p w14:paraId="7D67F3AC" w14:textId="77777777" w:rsidR="00451C4A" w:rsidRPr="008279DE" w:rsidRDefault="00451C4A" w:rsidP="005C3CB3">
      <w:pPr>
        <w:rPr>
          <w:rFonts w:asciiTheme="minorHAnsi" w:hAnsiTheme="minorHAnsi" w:cstheme="minorHAnsi"/>
          <w:color w:val="000000" w:themeColor="text1"/>
          <w:sz w:val="16"/>
          <w:szCs w:val="16"/>
        </w:rPr>
      </w:pPr>
      <w:r w:rsidRPr="008279DE">
        <w:rPr>
          <w:rStyle w:val="FootnoteReference"/>
          <w:rFonts w:asciiTheme="minorHAnsi" w:hAnsiTheme="minorHAnsi" w:cstheme="minorHAnsi"/>
          <w:color w:val="000000" w:themeColor="text1"/>
          <w:sz w:val="16"/>
          <w:szCs w:val="16"/>
        </w:rPr>
        <w:footnoteRef/>
      </w:r>
      <w:r w:rsidRPr="008279DE">
        <w:rPr>
          <w:rFonts w:asciiTheme="minorHAnsi" w:hAnsiTheme="minorHAnsi" w:cstheme="minorHAnsi"/>
          <w:color w:val="000000" w:themeColor="text1"/>
          <w:sz w:val="16"/>
          <w:szCs w:val="16"/>
        </w:rPr>
        <w:t xml:space="preserve"> </w:t>
      </w:r>
      <w:hyperlink r:id="rId26" w:history="1">
        <w:r w:rsidRPr="008279DE">
          <w:rPr>
            <w:rStyle w:val="Hyperlink"/>
            <w:rFonts w:asciiTheme="minorHAnsi" w:hAnsiTheme="minorHAnsi" w:cstheme="minorHAnsi"/>
            <w:sz w:val="16"/>
            <w:szCs w:val="16"/>
          </w:rPr>
          <w:t>https://consult.gov.scot/housing-services-policy-unit/short-term-lets-licensing-scheme/consultation/view_respondent?show_all_questions=0&amp;sort=submitted&amp;order=ascending&amp;_q__text=West+Dunbartonshire+Council&amp;uuId=124670121</w:t>
        </w:r>
      </w:hyperlink>
      <w:r w:rsidRPr="008279DE">
        <w:rPr>
          <w:rFonts w:asciiTheme="minorHAnsi" w:hAnsiTheme="minorHAnsi" w:cstheme="minorHAnsi"/>
          <w:color w:val="000000" w:themeColor="text1"/>
          <w:sz w:val="16"/>
          <w:szCs w:val="16"/>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26FF"/>
    <w:multiLevelType w:val="hybridMultilevel"/>
    <w:tmpl w:val="663E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AC2FAE"/>
    <w:multiLevelType w:val="hybridMultilevel"/>
    <w:tmpl w:val="C2D6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E0E29"/>
    <w:multiLevelType w:val="hybridMultilevel"/>
    <w:tmpl w:val="EC3A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83418C"/>
    <w:multiLevelType w:val="multilevel"/>
    <w:tmpl w:val="BB58C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2713F"/>
    <w:multiLevelType w:val="hybridMultilevel"/>
    <w:tmpl w:val="7EFE72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52230"/>
    <w:multiLevelType w:val="hybridMultilevel"/>
    <w:tmpl w:val="98764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F35011"/>
    <w:multiLevelType w:val="hybridMultilevel"/>
    <w:tmpl w:val="12BAE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C4360F"/>
    <w:multiLevelType w:val="hybridMultilevel"/>
    <w:tmpl w:val="450EA9A2"/>
    <w:lvl w:ilvl="0" w:tplc="487054DA">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EE4990"/>
    <w:multiLevelType w:val="hybridMultilevel"/>
    <w:tmpl w:val="96EC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B6DC2"/>
    <w:multiLevelType w:val="hybridMultilevel"/>
    <w:tmpl w:val="9BEE85F6"/>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95D8F"/>
    <w:multiLevelType w:val="hybridMultilevel"/>
    <w:tmpl w:val="5F54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CA0C92"/>
    <w:multiLevelType w:val="hybridMultilevel"/>
    <w:tmpl w:val="CEE0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CC6775"/>
    <w:multiLevelType w:val="hybridMultilevel"/>
    <w:tmpl w:val="3F446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AB4153"/>
    <w:multiLevelType w:val="multilevel"/>
    <w:tmpl w:val="BB7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96BAA"/>
    <w:multiLevelType w:val="hybridMultilevel"/>
    <w:tmpl w:val="72662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6874B2"/>
    <w:multiLevelType w:val="hybridMultilevel"/>
    <w:tmpl w:val="1D7C6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6C7806"/>
    <w:multiLevelType w:val="hybridMultilevel"/>
    <w:tmpl w:val="A204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3E5041A"/>
    <w:multiLevelType w:val="hybridMultilevel"/>
    <w:tmpl w:val="FD5EA42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36481D8D"/>
    <w:multiLevelType w:val="hybridMultilevel"/>
    <w:tmpl w:val="C5E2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503713"/>
    <w:multiLevelType w:val="hybridMultilevel"/>
    <w:tmpl w:val="3102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933632"/>
    <w:multiLevelType w:val="hybridMultilevel"/>
    <w:tmpl w:val="CA781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A4410"/>
    <w:multiLevelType w:val="hybridMultilevel"/>
    <w:tmpl w:val="AB7E7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434D48"/>
    <w:multiLevelType w:val="hybridMultilevel"/>
    <w:tmpl w:val="FA867A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A10FE6"/>
    <w:multiLevelType w:val="hybridMultilevel"/>
    <w:tmpl w:val="0584E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CC7819"/>
    <w:multiLevelType w:val="hybridMultilevel"/>
    <w:tmpl w:val="2670F4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340C9B"/>
    <w:multiLevelType w:val="multilevel"/>
    <w:tmpl w:val="8E90D3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3B090D"/>
    <w:multiLevelType w:val="hybridMultilevel"/>
    <w:tmpl w:val="C324BB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850B8"/>
    <w:multiLevelType w:val="hybridMultilevel"/>
    <w:tmpl w:val="F4367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D2385"/>
    <w:multiLevelType w:val="hybridMultilevel"/>
    <w:tmpl w:val="AD0E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37DCA"/>
    <w:multiLevelType w:val="hybridMultilevel"/>
    <w:tmpl w:val="04684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4D5BD9"/>
    <w:multiLevelType w:val="hybridMultilevel"/>
    <w:tmpl w:val="97BA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F73B9"/>
    <w:multiLevelType w:val="multilevel"/>
    <w:tmpl w:val="BB6CA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8B3480"/>
    <w:multiLevelType w:val="multilevel"/>
    <w:tmpl w:val="9A2883CC"/>
    <w:lvl w:ilvl="0">
      <w:start w:val="4"/>
      <w:numFmt w:val="decimal"/>
      <w:lvlText w:val="%1."/>
      <w:lvlJc w:val="left"/>
      <w:pPr>
        <w:tabs>
          <w:tab w:val="num" w:pos="720"/>
        </w:tabs>
        <w:ind w:left="720" w:hanging="360"/>
      </w:pPr>
    </w:lvl>
    <w:lvl w:ilvl="1">
      <w:start w:val="12"/>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D0D29"/>
    <w:multiLevelType w:val="hybridMultilevel"/>
    <w:tmpl w:val="206C4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B1EFC"/>
    <w:multiLevelType w:val="hybridMultilevel"/>
    <w:tmpl w:val="925A0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E733CE7"/>
    <w:multiLevelType w:val="hybridMultilevel"/>
    <w:tmpl w:val="60FAD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E4213D"/>
    <w:multiLevelType w:val="hybridMultilevel"/>
    <w:tmpl w:val="B5227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7A61AD"/>
    <w:multiLevelType w:val="multilevel"/>
    <w:tmpl w:val="C6AC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0B0413"/>
    <w:multiLevelType w:val="hybridMultilevel"/>
    <w:tmpl w:val="03E0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341BB4"/>
    <w:multiLevelType w:val="multilevel"/>
    <w:tmpl w:val="F69C8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CF2E95"/>
    <w:multiLevelType w:val="hybridMultilevel"/>
    <w:tmpl w:val="87F8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8B183C"/>
    <w:multiLevelType w:val="hybridMultilevel"/>
    <w:tmpl w:val="CC7C6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965174"/>
    <w:multiLevelType w:val="hybridMultilevel"/>
    <w:tmpl w:val="2F7AB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0E7060"/>
    <w:multiLevelType w:val="hybridMultilevel"/>
    <w:tmpl w:val="DBD29C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937E00"/>
    <w:multiLevelType w:val="hybridMultilevel"/>
    <w:tmpl w:val="1EE4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74B09"/>
    <w:multiLevelType w:val="hybridMultilevel"/>
    <w:tmpl w:val="DC2AD8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6C66845"/>
    <w:multiLevelType w:val="hybridMultilevel"/>
    <w:tmpl w:val="DC3C99B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41678"/>
    <w:multiLevelType w:val="hybridMultilevel"/>
    <w:tmpl w:val="6BD2B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4B5F5D"/>
    <w:multiLevelType w:val="hybridMultilevel"/>
    <w:tmpl w:val="F45652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7"/>
  </w:num>
  <w:num w:numId="2">
    <w:abstractNumId w:val="23"/>
  </w:num>
  <w:num w:numId="3">
    <w:abstractNumId w:val="27"/>
  </w:num>
  <w:num w:numId="4">
    <w:abstractNumId w:val="25"/>
  </w:num>
  <w:num w:numId="5">
    <w:abstractNumId w:val="22"/>
  </w:num>
  <w:num w:numId="6">
    <w:abstractNumId w:val="29"/>
  </w:num>
  <w:num w:numId="7">
    <w:abstractNumId w:val="31"/>
  </w:num>
  <w:num w:numId="8">
    <w:abstractNumId w:val="32"/>
  </w:num>
  <w:num w:numId="9">
    <w:abstractNumId w:val="34"/>
  </w:num>
  <w:num w:numId="10">
    <w:abstractNumId w:val="43"/>
  </w:num>
  <w:num w:numId="11">
    <w:abstractNumId w:val="41"/>
  </w:num>
  <w:num w:numId="12">
    <w:abstractNumId w:val="10"/>
  </w:num>
  <w:num w:numId="13">
    <w:abstractNumId w:val="20"/>
  </w:num>
  <w:num w:numId="14">
    <w:abstractNumId w:val="21"/>
  </w:num>
  <w:num w:numId="15">
    <w:abstractNumId w:val="47"/>
  </w:num>
  <w:num w:numId="16">
    <w:abstractNumId w:val="16"/>
  </w:num>
  <w:num w:numId="17">
    <w:abstractNumId w:val="7"/>
  </w:num>
  <w:num w:numId="18">
    <w:abstractNumId w:val="38"/>
  </w:num>
  <w:num w:numId="19">
    <w:abstractNumId w:val="3"/>
  </w:num>
  <w:num w:numId="20">
    <w:abstractNumId w:val="40"/>
  </w:num>
  <w:num w:numId="21">
    <w:abstractNumId w:val="33"/>
  </w:num>
  <w:num w:numId="22">
    <w:abstractNumId w:val="26"/>
  </w:num>
  <w:num w:numId="23">
    <w:abstractNumId w:val="24"/>
  </w:num>
  <w:num w:numId="24">
    <w:abstractNumId w:val="8"/>
  </w:num>
  <w:num w:numId="25">
    <w:abstractNumId w:val="14"/>
  </w:num>
  <w:num w:numId="26">
    <w:abstractNumId w:val="36"/>
  </w:num>
  <w:num w:numId="27">
    <w:abstractNumId w:val="28"/>
  </w:num>
  <w:num w:numId="28">
    <w:abstractNumId w:val="4"/>
  </w:num>
  <w:num w:numId="29">
    <w:abstractNumId w:val="15"/>
  </w:num>
  <w:num w:numId="30">
    <w:abstractNumId w:val="9"/>
  </w:num>
  <w:num w:numId="31">
    <w:abstractNumId w:val="17"/>
  </w:num>
  <w:num w:numId="32">
    <w:abstractNumId w:val="35"/>
  </w:num>
  <w:num w:numId="33">
    <w:abstractNumId w:val="30"/>
  </w:num>
  <w:num w:numId="34">
    <w:abstractNumId w:val="49"/>
  </w:num>
  <w:num w:numId="35">
    <w:abstractNumId w:val="6"/>
  </w:num>
  <w:num w:numId="36">
    <w:abstractNumId w:val="48"/>
  </w:num>
  <w:num w:numId="37">
    <w:abstractNumId w:val="46"/>
  </w:num>
  <w:num w:numId="38">
    <w:abstractNumId w:val="42"/>
  </w:num>
  <w:num w:numId="39">
    <w:abstractNumId w:val="12"/>
  </w:num>
  <w:num w:numId="40">
    <w:abstractNumId w:val="5"/>
  </w:num>
  <w:num w:numId="41">
    <w:abstractNumId w:val="11"/>
  </w:num>
  <w:num w:numId="42">
    <w:abstractNumId w:val="19"/>
  </w:num>
  <w:num w:numId="43">
    <w:abstractNumId w:val="18"/>
  </w:num>
  <w:num w:numId="44">
    <w:abstractNumId w:val="2"/>
  </w:num>
  <w:num w:numId="45">
    <w:abstractNumId w:val="1"/>
  </w:num>
  <w:num w:numId="46">
    <w:abstractNumId w:val="44"/>
  </w:num>
  <w:num w:numId="47">
    <w:abstractNumId w:val="39"/>
  </w:num>
  <w:num w:numId="48">
    <w:abstractNumId w:val="0"/>
  </w:num>
  <w:num w:numId="49">
    <w:abstractNumId w:val="13"/>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1E"/>
    <w:rsid w:val="00001E70"/>
    <w:rsid w:val="00003982"/>
    <w:rsid w:val="00004894"/>
    <w:rsid w:val="00005AA6"/>
    <w:rsid w:val="00011CA9"/>
    <w:rsid w:val="0001222D"/>
    <w:rsid w:val="000137D2"/>
    <w:rsid w:val="0001653E"/>
    <w:rsid w:val="0001734A"/>
    <w:rsid w:val="00021076"/>
    <w:rsid w:val="00022855"/>
    <w:rsid w:val="00024DD3"/>
    <w:rsid w:val="00027ED5"/>
    <w:rsid w:val="000325EB"/>
    <w:rsid w:val="00033DD9"/>
    <w:rsid w:val="00034955"/>
    <w:rsid w:val="000367E6"/>
    <w:rsid w:val="00046339"/>
    <w:rsid w:val="0004642A"/>
    <w:rsid w:val="00047C71"/>
    <w:rsid w:val="00055C05"/>
    <w:rsid w:val="000577FD"/>
    <w:rsid w:val="00060334"/>
    <w:rsid w:val="00060342"/>
    <w:rsid w:val="00061438"/>
    <w:rsid w:val="000623E1"/>
    <w:rsid w:val="00062573"/>
    <w:rsid w:val="000627D0"/>
    <w:rsid w:val="00062C29"/>
    <w:rsid w:val="00064942"/>
    <w:rsid w:val="00066647"/>
    <w:rsid w:val="00067CE1"/>
    <w:rsid w:val="000719D2"/>
    <w:rsid w:val="00072A40"/>
    <w:rsid w:val="000749FD"/>
    <w:rsid w:val="000800DF"/>
    <w:rsid w:val="00081796"/>
    <w:rsid w:val="000829D9"/>
    <w:rsid w:val="00085133"/>
    <w:rsid w:val="000851A0"/>
    <w:rsid w:val="000862C0"/>
    <w:rsid w:val="00086538"/>
    <w:rsid w:val="00087603"/>
    <w:rsid w:val="00090C21"/>
    <w:rsid w:val="000911A0"/>
    <w:rsid w:val="000920BC"/>
    <w:rsid w:val="00093CA8"/>
    <w:rsid w:val="00093D9C"/>
    <w:rsid w:val="000948BF"/>
    <w:rsid w:val="00096092"/>
    <w:rsid w:val="0009698B"/>
    <w:rsid w:val="000A5BF2"/>
    <w:rsid w:val="000B1025"/>
    <w:rsid w:val="000B1626"/>
    <w:rsid w:val="000C1296"/>
    <w:rsid w:val="000C1815"/>
    <w:rsid w:val="000C2BED"/>
    <w:rsid w:val="000C7CBD"/>
    <w:rsid w:val="000D0988"/>
    <w:rsid w:val="000D5510"/>
    <w:rsid w:val="000D676E"/>
    <w:rsid w:val="000D7300"/>
    <w:rsid w:val="000D7C1E"/>
    <w:rsid w:val="000E0A9F"/>
    <w:rsid w:val="000E2857"/>
    <w:rsid w:val="000E289C"/>
    <w:rsid w:val="000E4340"/>
    <w:rsid w:val="000E48B4"/>
    <w:rsid w:val="000E75F5"/>
    <w:rsid w:val="000E7DA1"/>
    <w:rsid w:val="000F128B"/>
    <w:rsid w:val="000F2482"/>
    <w:rsid w:val="000F5DEB"/>
    <w:rsid w:val="000F7044"/>
    <w:rsid w:val="000F7367"/>
    <w:rsid w:val="0010183C"/>
    <w:rsid w:val="00102306"/>
    <w:rsid w:val="00103567"/>
    <w:rsid w:val="00104C22"/>
    <w:rsid w:val="00104F93"/>
    <w:rsid w:val="001105F4"/>
    <w:rsid w:val="00112987"/>
    <w:rsid w:val="00113115"/>
    <w:rsid w:val="00113815"/>
    <w:rsid w:val="00115277"/>
    <w:rsid w:val="001177C2"/>
    <w:rsid w:val="00121810"/>
    <w:rsid w:val="00124588"/>
    <w:rsid w:val="00124A44"/>
    <w:rsid w:val="00125445"/>
    <w:rsid w:val="00130B9F"/>
    <w:rsid w:val="00130FC0"/>
    <w:rsid w:val="00137817"/>
    <w:rsid w:val="00140287"/>
    <w:rsid w:val="00143202"/>
    <w:rsid w:val="00144F6D"/>
    <w:rsid w:val="00147643"/>
    <w:rsid w:val="00152282"/>
    <w:rsid w:val="00156AA5"/>
    <w:rsid w:val="00164A5A"/>
    <w:rsid w:val="0016698E"/>
    <w:rsid w:val="001741E5"/>
    <w:rsid w:val="001808D7"/>
    <w:rsid w:val="00181253"/>
    <w:rsid w:val="001839D6"/>
    <w:rsid w:val="00186ECF"/>
    <w:rsid w:val="00187585"/>
    <w:rsid w:val="00190E2F"/>
    <w:rsid w:val="00192889"/>
    <w:rsid w:val="00193E76"/>
    <w:rsid w:val="001A675C"/>
    <w:rsid w:val="001A6D21"/>
    <w:rsid w:val="001B1A9B"/>
    <w:rsid w:val="001B529C"/>
    <w:rsid w:val="001B61CA"/>
    <w:rsid w:val="001B6C76"/>
    <w:rsid w:val="001C35EB"/>
    <w:rsid w:val="001C4BE8"/>
    <w:rsid w:val="001C5BEC"/>
    <w:rsid w:val="001C7919"/>
    <w:rsid w:val="001D6DCC"/>
    <w:rsid w:val="001E08A6"/>
    <w:rsid w:val="001E1137"/>
    <w:rsid w:val="001E2819"/>
    <w:rsid w:val="001E3A34"/>
    <w:rsid w:val="001E3D4B"/>
    <w:rsid w:val="001E3E4E"/>
    <w:rsid w:val="001E5A59"/>
    <w:rsid w:val="001F1BEF"/>
    <w:rsid w:val="001F36ED"/>
    <w:rsid w:val="001F4CAE"/>
    <w:rsid w:val="001F642A"/>
    <w:rsid w:val="00201248"/>
    <w:rsid w:val="00202762"/>
    <w:rsid w:val="00202C6F"/>
    <w:rsid w:val="00204344"/>
    <w:rsid w:val="00206BAB"/>
    <w:rsid w:val="00210804"/>
    <w:rsid w:val="00213399"/>
    <w:rsid w:val="00214394"/>
    <w:rsid w:val="002165A2"/>
    <w:rsid w:val="00217360"/>
    <w:rsid w:val="0022067E"/>
    <w:rsid w:val="002224D9"/>
    <w:rsid w:val="0022281C"/>
    <w:rsid w:val="00222FA0"/>
    <w:rsid w:val="00223F19"/>
    <w:rsid w:val="0022413F"/>
    <w:rsid w:val="002243FB"/>
    <w:rsid w:val="00224573"/>
    <w:rsid w:val="00225A20"/>
    <w:rsid w:val="00231D66"/>
    <w:rsid w:val="00236BAD"/>
    <w:rsid w:val="00237EE3"/>
    <w:rsid w:val="00241934"/>
    <w:rsid w:val="002419E6"/>
    <w:rsid w:val="0024226D"/>
    <w:rsid w:val="00244FDD"/>
    <w:rsid w:val="002455F9"/>
    <w:rsid w:val="0024687C"/>
    <w:rsid w:val="00246EAD"/>
    <w:rsid w:val="0024789E"/>
    <w:rsid w:val="00250E00"/>
    <w:rsid w:val="00251AC6"/>
    <w:rsid w:val="00251B78"/>
    <w:rsid w:val="00255298"/>
    <w:rsid w:val="002571D1"/>
    <w:rsid w:val="00260470"/>
    <w:rsid w:val="002647CB"/>
    <w:rsid w:val="00265525"/>
    <w:rsid w:val="0026572A"/>
    <w:rsid w:val="00265F13"/>
    <w:rsid w:val="00267AEB"/>
    <w:rsid w:val="002739B8"/>
    <w:rsid w:val="00273DDA"/>
    <w:rsid w:val="00284F0D"/>
    <w:rsid w:val="002857CA"/>
    <w:rsid w:val="00285B25"/>
    <w:rsid w:val="0028642B"/>
    <w:rsid w:val="00292A0B"/>
    <w:rsid w:val="00293B3C"/>
    <w:rsid w:val="0029652D"/>
    <w:rsid w:val="002A2758"/>
    <w:rsid w:val="002A3F12"/>
    <w:rsid w:val="002A4C58"/>
    <w:rsid w:val="002A6A0A"/>
    <w:rsid w:val="002B146F"/>
    <w:rsid w:val="002B4EFD"/>
    <w:rsid w:val="002B6FBC"/>
    <w:rsid w:val="002B7F33"/>
    <w:rsid w:val="002C057A"/>
    <w:rsid w:val="002C12EB"/>
    <w:rsid w:val="002C1BF9"/>
    <w:rsid w:val="002C3A3D"/>
    <w:rsid w:val="002C5629"/>
    <w:rsid w:val="002C6C06"/>
    <w:rsid w:val="002D1569"/>
    <w:rsid w:val="002D1906"/>
    <w:rsid w:val="002D2A0B"/>
    <w:rsid w:val="002D7CC3"/>
    <w:rsid w:val="002E2D7D"/>
    <w:rsid w:val="002E4981"/>
    <w:rsid w:val="002E5882"/>
    <w:rsid w:val="002E7693"/>
    <w:rsid w:val="002F03F1"/>
    <w:rsid w:val="002F08FE"/>
    <w:rsid w:val="002F16FD"/>
    <w:rsid w:val="002F28CE"/>
    <w:rsid w:val="002F2938"/>
    <w:rsid w:val="002F4AF5"/>
    <w:rsid w:val="002F7779"/>
    <w:rsid w:val="002F7BB5"/>
    <w:rsid w:val="00304D0D"/>
    <w:rsid w:val="00305781"/>
    <w:rsid w:val="00311485"/>
    <w:rsid w:val="003120A4"/>
    <w:rsid w:val="00316583"/>
    <w:rsid w:val="00323D64"/>
    <w:rsid w:val="003247AF"/>
    <w:rsid w:val="00330BE4"/>
    <w:rsid w:val="0033137B"/>
    <w:rsid w:val="003330FE"/>
    <w:rsid w:val="003344E7"/>
    <w:rsid w:val="00340E2C"/>
    <w:rsid w:val="003418BD"/>
    <w:rsid w:val="0034489C"/>
    <w:rsid w:val="003523E2"/>
    <w:rsid w:val="0035294D"/>
    <w:rsid w:val="003529AB"/>
    <w:rsid w:val="00356C76"/>
    <w:rsid w:val="00360700"/>
    <w:rsid w:val="003672D8"/>
    <w:rsid w:val="0037176C"/>
    <w:rsid w:val="00371C3E"/>
    <w:rsid w:val="00375CA7"/>
    <w:rsid w:val="003769B1"/>
    <w:rsid w:val="0037725A"/>
    <w:rsid w:val="003813AC"/>
    <w:rsid w:val="00382F77"/>
    <w:rsid w:val="00384C70"/>
    <w:rsid w:val="003879C6"/>
    <w:rsid w:val="003908C0"/>
    <w:rsid w:val="00391213"/>
    <w:rsid w:val="00392206"/>
    <w:rsid w:val="003928C6"/>
    <w:rsid w:val="00397D0B"/>
    <w:rsid w:val="003A1E16"/>
    <w:rsid w:val="003A2960"/>
    <w:rsid w:val="003A2CA7"/>
    <w:rsid w:val="003A73D2"/>
    <w:rsid w:val="003C59DE"/>
    <w:rsid w:val="003C5D8C"/>
    <w:rsid w:val="003D1BEA"/>
    <w:rsid w:val="003D44EC"/>
    <w:rsid w:val="003D4A2D"/>
    <w:rsid w:val="003D6CA5"/>
    <w:rsid w:val="003D7661"/>
    <w:rsid w:val="003D7C72"/>
    <w:rsid w:val="003E4096"/>
    <w:rsid w:val="003F2643"/>
    <w:rsid w:val="003F3961"/>
    <w:rsid w:val="003F54E9"/>
    <w:rsid w:val="003F6ECF"/>
    <w:rsid w:val="0040090F"/>
    <w:rsid w:val="004012C9"/>
    <w:rsid w:val="004014D6"/>
    <w:rsid w:val="00401D23"/>
    <w:rsid w:val="00402CA8"/>
    <w:rsid w:val="00403340"/>
    <w:rsid w:val="0040359D"/>
    <w:rsid w:val="00403EDB"/>
    <w:rsid w:val="0040465E"/>
    <w:rsid w:val="004074EC"/>
    <w:rsid w:val="00407BFA"/>
    <w:rsid w:val="00407D82"/>
    <w:rsid w:val="00412DE1"/>
    <w:rsid w:val="004140E6"/>
    <w:rsid w:val="004148F4"/>
    <w:rsid w:val="00416328"/>
    <w:rsid w:val="00417529"/>
    <w:rsid w:val="004207C8"/>
    <w:rsid w:val="00423118"/>
    <w:rsid w:val="0042553C"/>
    <w:rsid w:val="00427A61"/>
    <w:rsid w:val="0043178B"/>
    <w:rsid w:val="004348FC"/>
    <w:rsid w:val="0044050E"/>
    <w:rsid w:val="00440B0A"/>
    <w:rsid w:val="00440F81"/>
    <w:rsid w:val="004420E0"/>
    <w:rsid w:val="004422D5"/>
    <w:rsid w:val="00443460"/>
    <w:rsid w:val="00443EDE"/>
    <w:rsid w:val="004470E2"/>
    <w:rsid w:val="00447576"/>
    <w:rsid w:val="004519BB"/>
    <w:rsid w:val="00451C4A"/>
    <w:rsid w:val="004528E0"/>
    <w:rsid w:val="004551AB"/>
    <w:rsid w:val="00457071"/>
    <w:rsid w:val="00473746"/>
    <w:rsid w:val="00476122"/>
    <w:rsid w:val="00477E10"/>
    <w:rsid w:val="0048206E"/>
    <w:rsid w:val="004904A1"/>
    <w:rsid w:val="00491F59"/>
    <w:rsid w:val="004920CC"/>
    <w:rsid w:val="00492429"/>
    <w:rsid w:val="004970F7"/>
    <w:rsid w:val="004A0AD0"/>
    <w:rsid w:val="004A2DBA"/>
    <w:rsid w:val="004A456A"/>
    <w:rsid w:val="004A58F5"/>
    <w:rsid w:val="004B1278"/>
    <w:rsid w:val="004B14FE"/>
    <w:rsid w:val="004B185D"/>
    <w:rsid w:val="004B1FA8"/>
    <w:rsid w:val="004B3F5D"/>
    <w:rsid w:val="004B42AF"/>
    <w:rsid w:val="004B7BDA"/>
    <w:rsid w:val="004C01A9"/>
    <w:rsid w:val="004C1D27"/>
    <w:rsid w:val="004C2E30"/>
    <w:rsid w:val="004D0B50"/>
    <w:rsid w:val="004D1930"/>
    <w:rsid w:val="004D4B0F"/>
    <w:rsid w:val="004D6457"/>
    <w:rsid w:val="004D78A0"/>
    <w:rsid w:val="004E239F"/>
    <w:rsid w:val="004E3D00"/>
    <w:rsid w:val="004F1EC6"/>
    <w:rsid w:val="004F1FB4"/>
    <w:rsid w:val="004F4250"/>
    <w:rsid w:val="004F5A6F"/>
    <w:rsid w:val="00500513"/>
    <w:rsid w:val="0050383C"/>
    <w:rsid w:val="00503A1C"/>
    <w:rsid w:val="005057B2"/>
    <w:rsid w:val="00507401"/>
    <w:rsid w:val="005123F7"/>
    <w:rsid w:val="00512A6F"/>
    <w:rsid w:val="0051566C"/>
    <w:rsid w:val="0052136D"/>
    <w:rsid w:val="00523662"/>
    <w:rsid w:val="00524043"/>
    <w:rsid w:val="005246A1"/>
    <w:rsid w:val="0052776E"/>
    <w:rsid w:val="00531F91"/>
    <w:rsid w:val="00533D77"/>
    <w:rsid w:val="00534B72"/>
    <w:rsid w:val="00541C0A"/>
    <w:rsid w:val="00544F91"/>
    <w:rsid w:val="0054739B"/>
    <w:rsid w:val="005474A9"/>
    <w:rsid w:val="005508A5"/>
    <w:rsid w:val="005567E5"/>
    <w:rsid w:val="00562972"/>
    <w:rsid w:val="00563B94"/>
    <w:rsid w:val="00567AD3"/>
    <w:rsid w:val="00581181"/>
    <w:rsid w:val="00582167"/>
    <w:rsid w:val="005867DD"/>
    <w:rsid w:val="005876B9"/>
    <w:rsid w:val="005913EE"/>
    <w:rsid w:val="0059194F"/>
    <w:rsid w:val="005A07DA"/>
    <w:rsid w:val="005A4EA5"/>
    <w:rsid w:val="005A6B58"/>
    <w:rsid w:val="005A7EA7"/>
    <w:rsid w:val="005B6EAF"/>
    <w:rsid w:val="005C0F7B"/>
    <w:rsid w:val="005C2DA6"/>
    <w:rsid w:val="005C3CB3"/>
    <w:rsid w:val="005D1231"/>
    <w:rsid w:val="005D6A7E"/>
    <w:rsid w:val="005E01D2"/>
    <w:rsid w:val="005E255F"/>
    <w:rsid w:val="005E2E3E"/>
    <w:rsid w:val="005E3EC3"/>
    <w:rsid w:val="005E63B9"/>
    <w:rsid w:val="005E7E67"/>
    <w:rsid w:val="005F2932"/>
    <w:rsid w:val="00601415"/>
    <w:rsid w:val="00601E07"/>
    <w:rsid w:val="006030BB"/>
    <w:rsid w:val="0060333F"/>
    <w:rsid w:val="00603F3E"/>
    <w:rsid w:val="00606D44"/>
    <w:rsid w:val="00610216"/>
    <w:rsid w:val="00610707"/>
    <w:rsid w:val="00611D97"/>
    <w:rsid w:val="00611F8D"/>
    <w:rsid w:val="00614220"/>
    <w:rsid w:val="00617DFF"/>
    <w:rsid w:val="006213EF"/>
    <w:rsid w:val="00621950"/>
    <w:rsid w:val="006221D7"/>
    <w:rsid w:val="00624D64"/>
    <w:rsid w:val="00630B11"/>
    <w:rsid w:val="00633A60"/>
    <w:rsid w:val="00633BC3"/>
    <w:rsid w:val="00635184"/>
    <w:rsid w:val="0063533F"/>
    <w:rsid w:val="00636A3C"/>
    <w:rsid w:val="00642176"/>
    <w:rsid w:val="00647CB1"/>
    <w:rsid w:val="006529F6"/>
    <w:rsid w:val="00654AD3"/>
    <w:rsid w:val="00663952"/>
    <w:rsid w:val="00665583"/>
    <w:rsid w:val="006658A7"/>
    <w:rsid w:val="00672F01"/>
    <w:rsid w:val="006755D2"/>
    <w:rsid w:val="00675CF7"/>
    <w:rsid w:val="00676A18"/>
    <w:rsid w:val="00676BA5"/>
    <w:rsid w:val="00676D34"/>
    <w:rsid w:val="00677ACF"/>
    <w:rsid w:val="00680064"/>
    <w:rsid w:val="006815E5"/>
    <w:rsid w:val="00682AE6"/>
    <w:rsid w:val="006833B9"/>
    <w:rsid w:val="00684DF9"/>
    <w:rsid w:val="006900C4"/>
    <w:rsid w:val="00690BAA"/>
    <w:rsid w:val="006916AC"/>
    <w:rsid w:val="00692255"/>
    <w:rsid w:val="006928BA"/>
    <w:rsid w:val="0069460E"/>
    <w:rsid w:val="006A41F1"/>
    <w:rsid w:val="006A5EA9"/>
    <w:rsid w:val="006A7B8A"/>
    <w:rsid w:val="006B014D"/>
    <w:rsid w:val="006B1545"/>
    <w:rsid w:val="006B2E87"/>
    <w:rsid w:val="006C10E3"/>
    <w:rsid w:val="006C2B8E"/>
    <w:rsid w:val="006C6453"/>
    <w:rsid w:val="006C6586"/>
    <w:rsid w:val="006C6EF1"/>
    <w:rsid w:val="006D0D75"/>
    <w:rsid w:val="006D198C"/>
    <w:rsid w:val="006D534F"/>
    <w:rsid w:val="006D5F0C"/>
    <w:rsid w:val="006D663C"/>
    <w:rsid w:val="006D6EAB"/>
    <w:rsid w:val="006E29F1"/>
    <w:rsid w:val="006E53FE"/>
    <w:rsid w:val="006E5A77"/>
    <w:rsid w:val="006F263D"/>
    <w:rsid w:val="006F3D8E"/>
    <w:rsid w:val="006F42B4"/>
    <w:rsid w:val="006F5026"/>
    <w:rsid w:val="006F5052"/>
    <w:rsid w:val="006F74E1"/>
    <w:rsid w:val="006F7D0D"/>
    <w:rsid w:val="00704A1B"/>
    <w:rsid w:val="00706633"/>
    <w:rsid w:val="00710CE0"/>
    <w:rsid w:val="0071152D"/>
    <w:rsid w:val="007154E2"/>
    <w:rsid w:val="0072153E"/>
    <w:rsid w:val="0072189A"/>
    <w:rsid w:val="00723E27"/>
    <w:rsid w:val="00727D8A"/>
    <w:rsid w:val="00730925"/>
    <w:rsid w:val="0073325D"/>
    <w:rsid w:val="00735D42"/>
    <w:rsid w:val="0073787B"/>
    <w:rsid w:val="00747859"/>
    <w:rsid w:val="00753A2C"/>
    <w:rsid w:val="007561FD"/>
    <w:rsid w:val="007576E3"/>
    <w:rsid w:val="00757EB0"/>
    <w:rsid w:val="00761F4C"/>
    <w:rsid w:val="00763375"/>
    <w:rsid w:val="00763FF2"/>
    <w:rsid w:val="00764AD6"/>
    <w:rsid w:val="007657EB"/>
    <w:rsid w:val="007673ED"/>
    <w:rsid w:val="00767783"/>
    <w:rsid w:val="00772B9E"/>
    <w:rsid w:val="007734C1"/>
    <w:rsid w:val="00776D95"/>
    <w:rsid w:val="007870D3"/>
    <w:rsid w:val="00790695"/>
    <w:rsid w:val="00792658"/>
    <w:rsid w:val="00794D3B"/>
    <w:rsid w:val="00796F4E"/>
    <w:rsid w:val="007975F7"/>
    <w:rsid w:val="007A0A17"/>
    <w:rsid w:val="007A0DBA"/>
    <w:rsid w:val="007A1741"/>
    <w:rsid w:val="007A5A18"/>
    <w:rsid w:val="007B05C1"/>
    <w:rsid w:val="007B0A35"/>
    <w:rsid w:val="007B115E"/>
    <w:rsid w:val="007B1629"/>
    <w:rsid w:val="007B18FC"/>
    <w:rsid w:val="007B4523"/>
    <w:rsid w:val="007B4DE3"/>
    <w:rsid w:val="007C2559"/>
    <w:rsid w:val="007C2835"/>
    <w:rsid w:val="007D0166"/>
    <w:rsid w:val="007D23AC"/>
    <w:rsid w:val="007D5912"/>
    <w:rsid w:val="007D6CC2"/>
    <w:rsid w:val="007E0826"/>
    <w:rsid w:val="007E0A46"/>
    <w:rsid w:val="007E22F9"/>
    <w:rsid w:val="007E3284"/>
    <w:rsid w:val="007E4D4C"/>
    <w:rsid w:val="007F0C8E"/>
    <w:rsid w:val="007F32FF"/>
    <w:rsid w:val="007F4C2C"/>
    <w:rsid w:val="007F53AD"/>
    <w:rsid w:val="007F64CB"/>
    <w:rsid w:val="00810031"/>
    <w:rsid w:val="00810E5A"/>
    <w:rsid w:val="008114E9"/>
    <w:rsid w:val="008128F8"/>
    <w:rsid w:val="00816992"/>
    <w:rsid w:val="00816D5A"/>
    <w:rsid w:val="0081750B"/>
    <w:rsid w:val="00821734"/>
    <w:rsid w:val="008231EB"/>
    <w:rsid w:val="008279DE"/>
    <w:rsid w:val="00832393"/>
    <w:rsid w:val="0083321C"/>
    <w:rsid w:val="00833EEF"/>
    <w:rsid w:val="00835E22"/>
    <w:rsid w:val="00836AC9"/>
    <w:rsid w:val="008436D4"/>
    <w:rsid w:val="00851435"/>
    <w:rsid w:val="00851BE7"/>
    <w:rsid w:val="008604FB"/>
    <w:rsid w:val="00862396"/>
    <w:rsid w:val="00862654"/>
    <w:rsid w:val="008706A9"/>
    <w:rsid w:val="00872953"/>
    <w:rsid w:val="0087404C"/>
    <w:rsid w:val="008761C1"/>
    <w:rsid w:val="00876FAD"/>
    <w:rsid w:val="00877D3F"/>
    <w:rsid w:val="00880A3C"/>
    <w:rsid w:val="008822F4"/>
    <w:rsid w:val="008824A3"/>
    <w:rsid w:val="00887F16"/>
    <w:rsid w:val="008915D1"/>
    <w:rsid w:val="00891780"/>
    <w:rsid w:val="008936CD"/>
    <w:rsid w:val="00895CF7"/>
    <w:rsid w:val="0089780C"/>
    <w:rsid w:val="008A298B"/>
    <w:rsid w:val="008A2B9E"/>
    <w:rsid w:val="008A5AD4"/>
    <w:rsid w:val="008A624B"/>
    <w:rsid w:val="008A664D"/>
    <w:rsid w:val="008B0AFF"/>
    <w:rsid w:val="008B60C2"/>
    <w:rsid w:val="008B6204"/>
    <w:rsid w:val="008B632F"/>
    <w:rsid w:val="008C0C6C"/>
    <w:rsid w:val="008C2459"/>
    <w:rsid w:val="008D2A47"/>
    <w:rsid w:val="008D55BC"/>
    <w:rsid w:val="008D6624"/>
    <w:rsid w:val="008E6CC4"/>
    <w:rsid w:val="008F1B39"/>
    <w:rsid w:val="008F21D0"/>
    <w:rsid w:val="008F2815"/>
    <w:rsid w:val="008F41A6"/>
    <w:rsid w:val="008F7AB2"/>
    <w:rsid w:val="00906EEA"/>
    <w:rsid w:val="009079EA"/>
    <w:rsid w:val="00907A24"/>
    <w:rsid w:val="00907FB0"/>
    <w:rsid w:val="00912FC9"/>
    <w:rsid w:val="009147EA"/>
    <w:rsid w:val="009148C9"/>
    <w:rsid w:val="00915507"/>
    <w:rsid w:val="009166AD"/>
    <w:rsid w:val="00916E1C"/>
    <w:rsid w:val="009215F0"/>
    <w:rsid w:val="00923DFF"/>
    <w:rsid w:val="00925267"/>
    <w:rsid w:val="00927066"/>
    <w:rsid w:val="009306B0"/>
    <w:rsid w:val="0094364E"/>
    <w:rsid w:val="00950248"/>
    <w:rsid w:val="0095076D"/>
    <w:rsid w:val="0095081A"/>
    <w:rsid w:val="00952D86"/>
    <w:rsid w:val="00956507"/>
    <w:rsid w:val="0096187C"/>
    <w:rsid w:val="00961C6F"/>
    <w:rsid w:val="00962FDC"/>
    <w:rsid w:val="00964778"/>
    <w:rsid w:val="00965246"/>
    <w:rsid w:val="00965ACF"/>
    <w:rsid w:val="00966065"/>
    <w:rsid w:val="0097303D"/>
    <w:rsid w:val="00973205"/>
    <w:rsid w:val="00975915"/>
    <w:rsid w:val="009770B1"/>
    <w:rsid w:val="009811B3"/>
    <w:rsid w:val="00981E7A"/>
    <w:rsid w:val="009841C3"/>
    <w:rsid w:val="00986DC8"/>
    <w:rsid w:val="0098738D"/>
    <w:rsid w:val="009910ED"/>
    <w:rsid w:val="009913D5"/>
    <w:rsid w:val="0099230E"/>
    <w:rsid w:val="009945D6"/>
    <w:rsid w:val="009A0A66"/>
    <w:rsid w:val="009A46B1"/>
    <w:rsid w:val="009A5AF1"/>
    <w:rsid w:val="009A627A"/>
    <w:rsid w:val="009A7619"/>
    <w:rsid w:val="009B0EF5"/>
    <w:rsid w:val="009B2CCC"/>
    <w:rsid w:val="009C34F1"/>
    <w:rsid w:val="009C4458"/>
    <w:rsid w:val="009D4635"/>
    <w:rsid w:val="009E0529"/>
    <w:rsid w:val="009E24EC"/>
    <w:rsid w:val="009E72B3"/>
    <w:rsid w:val="009F0A06"/>
    <w:rsid w:val="009F6253"/>
    <w:rsid w:val="00A0309C"/>
    <w:rsid w:val="00A0608D"/>
    <w:rsid w:val="00A06813"/>
    <w:rsid w:val="00A06D42"/>
    <w:rsid w:val="00A074EB"/>
    <w:rsid w:val="00A07508"/>
    <w:rsid w:val="00A11898"/>
    <w:rsid w:val="00A12B9E"/>
    <w:rsid w:val="00A12E3F"/>
    <w:rsid w:val="00A13230"/>
    <w:rsid w:val="00A328E7"/>
    <w:rsid w:val="00A4059F"/>
    <w:rsid w:val="00A414A0"/>
    <w:rsid w:val="00A41F5F"/>
    <w:rsid w:val="00A52A42"/>
    <w:rsid w:val="00A53D6B"/>
    <w:rsid w:val="00A54A2A"/>
    <w:rsid w:val="00A55680"/>
    <w:rsid w:val="00A63AE9"/>
    <w:rsid w:val="00A65FDA"/>
    <w:rsid w:val="00A66588"/>
    <w:rsid w:val="00A670C8"/>
    <w:rsid w:val="00A6756C"/>
    <w:rsid w:val="00A67659"/>
    <w:rsid w:val="00A75EF4"/>
    <w:rsid w:val="00A80233"/>
    <w:rsid w:val="00A83DD2"/>
    <w:rsid w:val="00A84BAE"/>
    <w:rsid w:val="00A930A5"/>
    <w:rsid w:val="00AA0B80"/>
    <w:rsid w:val="00AA6433"/>
    <w:rsid w:val="00AB10D3"/>
    <w:rsid w:val="00AB14E0"/>
    <w:rsid w:val="00AB2DD2"/>
    <w:rsid w:val="00AC0CFB"/>
    <w:rsid w:val="00AC321E"/>
    <w:rsid w:val="00AC3F8C"/>
    <w:rsid w:val="00AC5847"/>
    <w:rsid w:val="00AC5C02"/>
    <w:rsid w:val="00AC64D7"/>
    <w:rsid w:val="00AC7F6A"/>
    <w:rsid w:val="00AD11DC"/>
    <w:rsid w:val="00AD4C66"/>
    <w:rsid w:val="00AD563F"/>
    <w:rsid w:val="00AD5B12"/>
    <w:rsid w:val="00AE1A9B"/>
    <w:rsid w:val="00AE7FF4"/>
    <w:rsid w:val="00AF1E70"/>
    <w:rsid w:val="00AF21A4"/>
    <w:rsid w:val="00AF3498"/>
    <w:rsid w:val="00AF39C6"/>
    <w:rsid w:val="00AF420F"/>
    <w:rsid w:val="00AF4A88"/>
    <w:rsid w:val="00AF4C11"/>
    <w:rsid w:val="00AF4CF4"/>
    <w:rsid w:val="00AF63F1"/>
    <w:rsid w:val="00AF6C6D"/>
    <w:rsid w:val="00AF708D"/>
    <w:rsid w:val="00B1029D"/>
    <w:rsid w:val="00B11AB3"/>
    <w:rsid w:val="00B122E1"/>
    <w:rsid w:val="00B1386C"/>
    <w:rsid w:val="00B13892"/>
    <w:rsid w:val="00B1416C"/>
    <w:rsid w:val="00B238FB"/>
    <w:rsid w:val="00B23E5F"/>
    <w:rsid w:val="00B254F9"/>
    <w:rsid w:val="00B2704E"/>
    <w:rsid w:val="00B27DB9"/>
    <w:rsid w:val="00B32584"/>
    <w:rsid w:val="00B34BA6"/>
    <w:rsid w:val="00B40091"/>
    <w:rsid w:val="00B403A9"/>
    <w:rsid w:val="00B40883"/>
    <w:rsid w:val="00B43419"/>
    <w:rsid w:val="00B437EF"/>
    <w:rsid w:val="00B43FBC"/>
    <w:rsid w:val="00B44EC5"/>
    <w:rsid w:val="00B46855"/>
    <w:rsid w:val="00B46D2D"/>
    <w:rsid w:val="00B506A1"/>
    <w:rsid w:val="00B55A42"/>
    <w:rsid w:val="00B56049"/>
    <w:rsid w:val="00B57974"/>
    <w:rsid w:val="00B6255D"/>
    <w:rsid w:val="00B715E4"/>
    <w:rsid w:val="00B72BB0"/>
    <w:rsid w:val="00B7433A"/>
    <w:rsid w:val="00B7489B"/>
    <w:rsid w:val="00B774DE"/>
    <w:rsid w:val="00B77626"/>
    <w:rsid w:val="00B80335"/>
    <w:rsid w:val="00B8500D"/>
    <w:rsid w:val="00B93577"/>
    <w:rsid w:val="00B94226"/>
    <w:rsid w:val="00B95E49"/>
    <w:rsid w:val="00BA0C70"/>
    <w:rsid w:val="00BA792F"/>
    <w:rsid w:val="00BB10B5"/>
    <w:rsid w:val="00BB40F5"/>
    <w:rsid w:val="00BB6C09"/>
    <w:rsid w:val="00BB6E84"/>
    <w:rsid w:val="00BB724E"/>
    <w:rsid w:val="00BC17F1"/>
    <w:rsid w:val="00BC20A3"/>
    <w:rsid w:val="00BC22EA"/>
    <w:rsid w:val="00BC26A5"/>
    <w:rsid w:val="00BC68B2"/>
    <w:rsid w:val="00BC7B27"/>
    <w:rsid w:val="00BD48E6"/>
    <w:rsid w:val="00BD52F4"/>
    <w:rsid w:val="00BD5506"/>
    <w:rsid w:val="00BD5AC0"/>
    <w:rsid w:val="00BD6BAA"/>
    <w:rsid w:val="00BE0078"/>
    <w:rsid w:val="00BE3143"/>
    <w:rsid w:val="00BE5EB5"/>
    <w:rsid w:val="00BE62D0"/>
    <w:rsid w:val="00BF1C6F"/>
    <w:rsid w:val="00BF1CD6"/>
    <w:rsid w:val="00BF2D71"/>
    <w:rsid w:val="00BF5875"/>
    <w:rsid w:val="00BF7731"/>
    <w:rsid w:val="00C016FC"/>
    <w:rsid w:val="00C0403A"/>
    <w:rsid w:val="00C10C49"/>
    <w:rsid w:val="00C11CA4"/>
    <w:rsid w:val="00C13445"/>
    <w:rsid w:val="00C171F3"/>
    <w:rsid w:val="00C26EAE"/>
    <w:rsid w:val="00C35763"/>
    <w:rsid w:val="00C44C5B"/>
    <w:rsid w:val="00C4548B"/>
    <w:rsid w:val="00C51036"/>
    <w:rsid w:val="00C5195C"/>
    <w:rsid w:val="00C52326"/>
    <w:rsid w:val="00C53DAC"/>
    <w:rsid w:val="00C541C0"/>
    <w:rsid w:val="00C551E5"/>
    <w:rsid w:val="00C55277"/>
    <w:rsid w:val="00C55568"/>
    <w:rsid w:val="00C61F2E"/>
    <w:rsid w:val="00C623F8"/>
    <w:rsid w:val="00C64468"/>
    <w:rsid w:val="00C651FE"/>
    <w:rsid w:val="00C7001A"/>
    <w:rsid w:val="00C72815"/>
    <w:rsid w:val="00C74298"/>
    <w:rsid w:val="00C76A0C"/>
    <w:rsid w:val="00C8180E"/>
    <w:rsid w:val="00C81D24"/>
    <w:rsid w:val="00C85361"/>
    <w:rsid w:val="00C91601"/>
    <w:rsid w:val="00C93DD9"/>
    <w:rsid w:val="00C94BF5"/>
    <w:rsid w:val="00C95C9B"/>
    <w:rsid w:val="00CA07A7"/>
    <w:rsid w:val="00CA28AE"/>
    <w:rsid w:val="00CA6B88"/>
    <w:rsid w:val="00CA6ECF"/>
    <w:rsid w:val="00CA7614"/>
    <w:rsid w:val="00CB1B75"/>
    <w:rsid w:val="00CB3D8F"/>
    <w:rsid w:val="00CB4626"/>
    <w:rsid w:val="00CB6B84"/>
    <w:rsid w:val="00CC3B1D"/>
    <w:rsid w:val="00CC4FAA"/>
    <w:rsid w:val="00CC5AE0"/>
    <w:rsid w:val="00CC68C5"/>
    <w:rsid w:val="00CC6C15"/>
    <w:rsid w:val="00CD0EA9"/>
    <w:rsid w:val="00CD134A"/>
    <w:rsid w:val="00CD383A"/>
    <w:rsid w:val="00CD3ADF"/>
    <w:rsid w:val="00CD764B"/>
    <w:rsid w:val="00CE0596"/>
    <w:rsid w:val="00CE3450"/>
    <w:rsid w:val="00CE445C"/>
    <w:rsid w:val="00CE500A"/>
    <w:rsid w:val="00CE5ED1"/>
    <w:rsid w:val="00CE6811"/>
    <w:rsid w:val="00CE725E"/>
    <w:rsid w:val="00CF7631"/>
    <w:rsid w:val="00D021C5"/>
    <w:rsid w:val="00D02E20"/>
    <w:rsid w:val="00D04A67"/>
    <w:rsid w:val="00D061F2"/>
    <w:rsid w:val="00D066B3"/>
    <w:rsid w:val="00D11B05"/>
    <w:rsid w:val="00D11C4C"/>
    <w:rsid w:val="00D17656"/>
    <w:rsid w:val="00D21DE3"/>
    <w:rsid w:val="00D2222E"/>
    <w:rsid w:val="00D24F9D"/>
    <w:rsid w:val="00D25638"/>
    <w:rsid w:val="00D26430"/>
    <w:rsid w:val="00D30535"/>
    <w:rsid w:val="00D306C1"/>
    <w:rsid w:val="00D371A0"/>
    <w:rsid w:val="00D37FA9"/>
    <w:rsid w:val="00D4091F"/>
    <w:rsid w:val="00D42B8D"/>
    <w:rsid w:val="00D42CC6"/>
    <w:rsid w:val="00D43440"/>
    <w:rsid w:val="00D4355F"/>
    <w:rsid w:val="00D44B1E"/>
    <w:rsid w:val="00D45D5B"/>
    <w:rsid w:val="00D477AD"/>
    <w:rsid w:val="00D56F9D"/>
    <w:rsid w:val="00D5728B"/>
    <w:rsid w:val="00D57512"/>
    <w:rsid w:val="00D603C7"/>
    <w:rsid w:val="00D62151"/>
    <w:rsid w:val="00D672C7"/>
    <w:rsid w:val="00D7083A"/>
    <w:rsid w:val="00D745C6"/>
    <w:rsid w:val="00D749A2"/>
    <w:rsid w:val="00D8143D"/>
    <w:rsid w:val="00D84083"/>
    <w:rsid w:val="00D8720F"/>
    <w:rsid w:val="00D878D6"/>
    <w:rsid w:val="00D92D4C"/>
    <w:rsid w:val="00DA078A"/>
    <w:rsid w:val="00DB2CAA"/>
    <w:rsid w:val="00DB36AB"/>
    <w:rsid w:val="00DB46AA"/>
    <w:rsid w:val="00DB610B"/>
    <w:rsid w:val="00DC0CCD"/>
    <w:rsid w:val="00DC0D1C"/>
    <w:rsid w:val="00DC35FA"/>
    <w:rsid w:val="00DC36E1"/>
    <w:rsid w:val="00DC530E"/>
    <w:rsid w:val="00DD031C"/>
    <w:rsid w:val="00DD07C6"/>
    <w:rsid w:val="00DD1ADD"/>
    <w:rsid w:val="00DD1CE5"/>
    <w:rsid w:val="00DD3C00"/>
    <w:rsid w:val="00DD54D9"/>
    <w:rsid w:val="00DD5EA2"/>
    <w:rsid w:val="00DE5233"/>
    <w:rsid w:val="00DF13AD"/>
    <w:rsid w:val="00DF2262"/>
    <w:rsid w:val="00DF2934"/>
    <w:rsid w:val="00DF72D8"/>
    <w:rsid w:val="00DF74F1"/>
    <w:rsid w:val="00E00390"/>
    <w:rsid w:val="00E02CF6"/>
    <w:rsid w:val="00E067CD"/>
    <w:rsid w:val="00E13240"/>
    <w:rsid w:val="00E1584A"/>
    <w:rsid w:val="00E16AE0"/>
    <w:rsid w:val="00E17E0B"/>
    <w:rsid w:val="00E233A9"/>
    <w:rsid w:val="00E27FBB"/>
    <w:rsid w:val="00E33DB7"/>
    <w:rsid w:val="00E354D0"/>
    <w:rsid w:val="00E3550E"/>
    <w:rsid w:val="00E35E93"/>
    <w:rsid w:val="00E36D56"/>
    <w:rsid w:val="00E37E67"/>
    <w:rsid w:val="00E40420"/>
    <w:rsid w:val="00E50893"/>
    <w:rsid w:val="00E52A27"/>
    <w:rsid w:val="00E5665B"/>
    <w:rsid w:val="00E60330"/>
    <w:rsid w:val="00E60413"/>
    <w:rsid w:val="00E62E18"/>
    <w:rsid w:val="00E65271"/>
    <w:rsid w:val="00E678B4"/>
    <w:rsid w:val="00E67E8E"/>
    <w:rsid w:val="00E810D0"/>
    <w:rsid w:val="00E92CB1"/>
    <w:rsid w:val="00E93FF9"/>
    <w:rsid w:val="00E94892"/>
    <w:rsid w:val="00E96252"/>
    <w:rsid w:val="00E97BAF"/>
    <w:rsid w:val="00EA1D90"/>
    <w:rsid w:val="00EA3E9D"/>
    <w:rsid w:val="00EA4BAA"/>
    <w:rsid w:val="00EA50ED"/>
    <w:rsid w:val="00EA52CC"/>
    <w:rsid w:val="00EA6E61"/>
    <w:rsid w:val="00EA76B4"/>
    <w:rsid w:val="00EA7B08"/>
    <w:rsid w:val="00EB3DF8"/>
    <w:rsid w:val="00EC0DB6"/>
    <w:rsid w:val="00EC427D"/>
    <w:rsid w:val="00EC5E3B"/>
    <w:rsid w:val="00EC622D"/>
    <w:rsid w:val="00EC6674"/>
    <w:rsid w:val="00ED4660"/>
    <w:rsid w:val="00ED49F1"/>
    <w:rsid w:val="00ED5192"/>
    <w:rsid w:val="00ED53C3"/>
    <w:rsid w:val="00ED5A71"/>
    <w:rsid w:val="00ED5E01"/>
    <w:rsid w:val="00ED6D34"/>
    <w:rsid w:val="00ED6E62"/>
    <w:rsid w:val="00EE0CB2"/>
    <w:rsid w:val="00EE17E2"/>
    <w:rsid w:val="00EE1FB1"/>
    <w:rsid w:val="00EE675F"/>
    <w:rsid w:val="00EE6886"/>
    <w:rsid w:val="00EF35BD"/>
    <w:rsid w:val="00EF3D2C"/>
    <w:rsid w:val="00EF5800"/>
    <w:rsid w:val="00F007EC"/>
    <w:rsid w:val="00F01DB0"/>
    <w:rsid w:val="00F02DD0"/>
    <w:rsid w:val="00F03178"/>
    <w:rsid w:val="00F039F5"/>
    <w:rsid w:val="00F04640"/>
    <w:rsid w:val="00F04C07"/>
    <w:rsid w:val="00F07CD1"/>
    <w:rsid w:val="00F1612B"/>
    <w:rsid w:val="00F16A2D"/>
    <w:rsid w:val="00F2006B"/>
    <w:rsid w:val="00F21080"/>
    <w:rsid w:val="00F23CB8"/>
    <w:rsid w:val="00F24228"/>
    <w:rsid w:val="00F25F12"/>
    <w:rsid w:val="00F26F07"/>
    <w:rsid w:val="00F3024B"/>
    <w:rsid w:val="00F30497"/>
    <w:rsid w:val="00F30CC6"/>
    <w:rsid w:val="00F30EDD"/>
    <w:rsid w:val="00F31104"/>
    <w:rsid w:val="00F3553C"/>
    <w:rsid w:val="00F3669A"/>
    <w:rsid w:val="00F368B9"/>
    <w:rsid w:val="00F407F4"/>
    <w:rsid w:val="00F47EB8"/>
    <w:rsid w:val="00F51FD7"/>
    <w:rsid w:val="00F52033"/>
    <w:rsid w:val="00F57784"/>
    <w:rsid w:val="00F57A05"/>
    <w:rsid w:val="00F61245"/>
    <w:rsid w:val="00F66170"/>
    <w:rsid w:val="00F66929"/>
    <w:rsid w:val="00F67024"/>
    <w:rsid w:val="00F70210"/>
    <w:rsid w:val="00F71551"/>
    <w:rsid w:val="00F73F52"/>
    <w:rsid w:val="00F7564D"/>
    <w:rsid w:val="00F8207E"/>
    <w:rsid w:val="00F83764"/>
    <w:rsid w:val="00F846E6"/>
    <w:rsid w:val="00F93643"/>
    <w:rsid w:val="00F96608"/>
    <w:rsid w:val="00FA18C8"/>
    <w:rsid w:val="00FA32AF"/>
    <w:rsid w:val="00FA42E1"/>
    <w:rsid w:val="00FA521E"/>
    <w:rsid w:val="00FA6110"/>
    <w:rsid w:val="00FA7B83"/>
    <w:rsid w:val="00FB43EE"/>
    <w:rsid w:val="00FB54F4"/>
    <w:rsid w:val="00FB56C7"/>
    <w:rsid w:val="00FB676F"/>
    <w:rsid w:val="00FC7BF6"/>
    <w:rsid w:val="00FC7BFD"/>
    <w:rsid w:val="00FD33C2"/>
    <w:rsid w:val="00FD4048"/>
    <w:rsid w:val="00FD40FC"/>
    <w:rsid w:val="00FE4582"/>
    <w:rsid w:val="00FE6D12"/>
    <w:rsid w:val="00FF1253"/>
    <w:rsid w:val="00FF1B42"/>
    <w:rsid w:val="00FF1E59"/>
    <w:rsid w:val="00FF288B"/>
    <w:rsid w:val="00FF306C"/>
    <w:rsid w:val="00FF45F5"/>
    <w:rsid w:val="00FF6181"/>
    <w:rsid w:val="00FF66D0"/>
    <w:rsid w:val="00FF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72AE6"/>
  <w15:chartTrackingRefBased/>
  <w15:docId w15:val="{5A2594B5-DEC7-5443-8A2E-5BD21E59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AC6"/>
    <w:rPr>
      <w:rFonts w:ascii="Times New Roman" w:eastAsia="Times New Roman" w:hAnsi="Times New Roman" w:cs="Times New Roman"/>
    </w:rPr>
  </w:style>
  <w:style w:type="paragraph" w:styleId="Heading1">
    <w:name w:val="heading 1"/>
    <w:basedOn w:val="Normal"/>
    <w:next w:val="Normal"/>
    <w:link w:val="Heading1Char"/>
    <w:uiPriority w:val="9"/>
    <w:qFormat/>
    <w:rsid w:val="009E2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3550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AC584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521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E63B9"/>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477AD"/>
  </w:style>
  <w:style w:type="character" w:styleId="Hyperlink">
    <w:name w:val="Hyperlink"/>
    <w:basedOn w:val="DefaultParagraphFont"/>
    <w:uiPriority w:val="99"/>
    <w:unhideWhenUsed/>
    <w:rsid w:val="00D477AD"/>
    <w:rPr>
      <w:color w:val="0000FF"/>
      <w:u w:val="single"/>
    </w:rPr>
  </w:style>
  <w:style w:type="paragraph" w:styleId="FootnoteText">
    <w:name w:val="footnote text"/>
    <w:basedOn w:val="Normal"/>
    <w:link w:val="FootnoteTextChar"/>
    <w:uiPriority w:val="99"/>
    <w:unhideWhenUsed/>
    <w:rsid w:val="00D477AD"/>
    <w:rPr>
      <w:sz w:val="20"/>
      <w:szCs w:val="20"/>
    </w:rPr>
  </w:style>
  <w:style w:type="character" w:customStyle="1" w:styleId="FootnoteTextChar">
    <w:name w:val="Footnote Text Char"/>
    <w:basedOn w:val="DefaultParagraphFont"/>
    <w:link w:val="FootnoteText"/>
    <w:uiPriority w:val="99"/>
    <w:rsid w:val="00D477AD"/>
    <w:rPr>
      <w:sz w:val="20"/>
      <w:szCs w:val="20"/>
    </w:rPr>
  </w:style>
  <w:style w:type="character" w:styleId="FootnoteReference">
    <w:name w:val="footnote reference"/>
    <w:basedOn w:val="DefaultParagraphFont"/>
    <w:uiPriority w:val="99"/>
    <w:semiHidden/>
    <w:unhideWhenUsed/>
    <w:rsid w:val="00D477AD"/>
    <w:rPr>
      <w:vertAlign w:val="superscript"/>
    </w:rPr>
  </w:style>
  <w:style w:type="paragraph" w:styleId="NormalWeb">
    <w:name w:val="Normal (Web)"/>
    <w:basedOn w:val="Normal"/>
    <w:uiPriority w:val="99"/>
    <w:unhideWhenUsed/>
    <w:rsid w:val="00D477AD"/>
    <w:pPr>
      <w:spacing w:before="100" w:beforeAutospacing="1" w:after="100" w:afterAutospacing="1"/>
    </w:pPr>
  </w:style>
  <w:style w:type="paragraph" w:styleId="NoSpacing">
    <w:name w:val="No Spacing"/>
    <w:uiPriority w:val="1"/>
    <w:qFormat/>
    <w:rsid w:val="001B6C76"/>
    <w:rPr>
      <w:sz w:val="22"/>
      <w:szCs w:val="22"/>
    </w:rPr>
  </w:style>
  <w:style w:type="character" w:styleId="CommentReference">
    <w:name w:val="annotation reference"/>
    <w:basedOn w:val="DefaultParagraphFont"/>
    <w:uiPriority w:val="99"/>
    <w:semiHidden/>
    <w:unhideWhenUsed/>
    <w:rsid w:val="00440B0A"/>
    <w:rPr>
      <w:sz w:val="16"/>
      <w:szCs w:val="16"/>
    </w:rPr>
  </w:style>
  <w:style w:type="paragraph" w:styleId="CommentText">
    <w:name w:val="annotation text"/>
    <w:basedOn w:val="Normal"/>
    <w:link w:val="CommentTextChar"/>
    <w:uiPriority w:val="99"/>
    <w:unhideWhenUsed/>
    <w:rsid w:val="00E00390"/>
    <w:rPr>
      <w:sz w:val="20"/>
      <w:szCs w:val="20"/>
    </w:rPr>
  </w:style>
  <w:style w:type="character" w:customStyle="1" w:styleId="CommentTextChar">
    <w:name w:val="Comment Text Char"/>
    <w:basedOn w:val="DefaultParagraphFont"/>
    <w:link w:val="CommentText"/>
    <w:uiPriority w:val="99"/>
    <w:rsid w:val="00E003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00390"/>
    <w:rPr>
      <w:sz w:val="18"/>
      <w:szCs w:val="18"/>
    </w:rPr>
  </w:style>
  <w:style w:type="character" w:customStyle="1" w:styleId="BalloonTextChar">
    <w:name w:val="Balloon Text Char"/>
    <w:basedOn w:val="DefaultParagraphFont"/>
    <w:link w:val="BalloonText"/>
    <w:uiPriority w:val="99"/>
    <w:semiHidden/>
    <w:rsid w:val="00E00390"/>
    <w:rPr>
      <w:rFonts w:ascii="Times New Roman" w:hAnsi="Times New Roman" w:cs="Times New Roman"/>
      <w:sz w:val="18"/>
      <w:szCs w:val="18"/>
    </w:rPr>
  </w:style>
  <w:style w:type="character" w:styleId="Strong">
    <w:name w:val="Strong"/>
    <w:basedOn w:val="DefaultParagraphFont"/>
    <w:uiPriority w:val="22"/>
    <w:qFormat/>
    <w:rsid w:val="00895CF7"/>
    <w:rPr>
      <w:b/>
      <w:bCs/>
    </w:rPr>
  </w:style>
  <w:style w:type="character" w:customStyle="1" w:styleId="Heading4Char">
    <w:name w:val="Heading 4 Char"/>
    <w:basedOn w:val="DefaultParagraphFont"/>
    <w:link w:val="Heading4"/>
    <w:uiPriority w:val="9"/>
    <w:rsid w:val="00AC5847"/>
    <w:rPr>
      <w:rFonts w:ascii="Times New Roman" w:eastAsia="Times New Roman" w:hAnsi="Times New Roman" w:cs="Times New Roman"/>
      <w:b/>
      <w:bCs/>
    </w:rPr>
  </w:style>
  <w:style w:type="paragraph" w:customStyle="1" w:styleId="legclearfix2">
    <w:name w:val="legclearfix2"/>
    <w:basedOn w:val="Normal"/>
    <w:rsid w:val="002A2758"/>
    <w:pPr>
      <w:spacing w:after="150"/>
    </w:pPr>
    <w:rPr>
      <w:rFonts w:ascii="Arial" w:hAnsi="Arial" w:cs="Arial"/>
      <w:sz w:val="36"/>
      <w:szCs w:val="36"/>
      <w:lang w:eastAsia="en-GB"/>
    </w:rPr>
  </w:style>
  <w:style w:type="paragraph" w:customStyle="1" w:styleId="Default">
    <w:name w:val="Default"/>
    <w:rsid w:val="002A2758"/>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9841C3"/>
    <w:rPr>
      <w:color w:val="954F72" w:themeColor="followedHyperlink"/>
      <w:u w:val="single"/>
    </w:rPr>
  </w:style>
  <w:style w:type="character" w:styleId="UnresolvedMention">
    <w:name w:val="Unresolved Mention"/>
    <w:basedOn w:val="DefaultParagraphFont"/>
    <w:uiPriority w:val="99"/>
    <w:semiHidden/>
    <w:unhideWhenUsed/>
    <w:rsid w:val="00AF4C11"/>
    <w:rPr>
      <w:color w:val="605E5C"/>
      <w:shd w:val="clear" w:color="auto" w:fill="E1DFDD"/>
    </w:rPr>
  </w:style>
  <w:style w:type="character" w:customStyle="1" w:styleId="Heading1Char">
    <w:name w:val="Heading 1 Char"/>
    <w:basedOn w:val="DefaultParagraphFont"/>
    <w:link w:val="Heading1"/>
    <w:uiPriority w:val="9"/>
    <w:rsid w:val="009E24EC"/>
    <w:rPr>
      <w:rFonts w:asciiTheme="majorHAnsi" w:eastAsiaTheme="majorEastAsia" w:hAnsiTheme="majorHAnsi" w:cstheme="majorBidi"/>
      <w:color w:val="2F5496" w:themeColor="accent1" w:themeShade="BF"/>
      <w:sz w:val="32"/>
      <w:szCs w:val="32"/>
    </w:rPr>
  </w:style>
  <w:style w:type="paragraph" w:customStyle="1" w:styleId="yiv2465677837msonormal">
    <w:name w:val="yiv2465677837msonormal"/>
    <w:basedOn w:val="Normal"/>
    <w:rsid w:val="0026047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55298"/>
    <w:rPr>
      <w:b/>
      <w:bCs/>
    </w:rPr>
  </w:style>
  <w:style w:type="character" w:customStyle="1" w:styleId="CommentSubjectChar">
    <w:name w:val="Comment Subject Char"/>
    <w:basedOn w:val="CommentTextChar"/>
    <w:link w:val="CommentSubject"/>
    <w:uiPriority w:val="99"/>
    <w:semiHidden/>
    <w:rsid w:val="0025529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46D2D"/>
    <w:pPr>
      <w:tabs>
        <w:tab w:val="center" w:pos="4513"/>
        <w:tab w:val="right" w:pos="9026"/>
      </w:tabs>
    </w:pPr>
  </w:style>
  <w:style w:type="character" w:customStyle="1" w:styleId="HeaderChar">
    <w:name w:val="Header Char"/>
    <w:basedOn w:val="DefaultParagraphFont"/>
    <w:link w:val="Header"/>
    <w:uiPriority w:val="99"/>
    <w:rsid w:val="00B46D2D"/>
    <w:rPr>
      <w:rFonts w:ascii="Times New Roman" w:eastAsia="Times New Roman" w:hAnsi="Times New Roman" w:cs="Times New Roman"/>
    </w:rPr>
  </w:style>
  <w:style w:type="paragraph" w:styleId="Footer">
    <w:name w:val="footer"/>
    <w:basedOn w:val="Normal"/>
    <w:link w:val="FooterChar"/>
    <w:uiPriority w:val="99"/>
    <w:unhideWhenUsed/>
    <w:rsid w:val="00B46D2D"/>
    <w:pPr>
      <w:tabs>
        <w:tab w:val="center" w:pos="4513"/>
        <w:tab w:val="right" w:pos="9026"/>
      </w:tabs>
    </w:pPr>
  </w:style>
  <w:style w:type="character" w:customStyle="1" w:styleId="FooterChar">
    <w:name w:val="Footer Char"/>
    <w:basedOn w:val="DefaultParagraphFont"/>
    <w:link w:val="Footer"/>
    <w:uiPriority w:val="99"/>
    <w:rsid w:val="00B46D2D"/>
    <w:rPr>
      <w:rFonts w:ascii="Times New Roman" w:eastAsia="Times New Roman" w:hAnsi="Times New Roman" w:cs="Times New Roman"/>
    </w:rPr>
  </w:style>
  <w:style w:type="paragraph" w:styleId="Revision">
    <w:name w:val="Revision"/>
    <w:hidden/>
    <w:uiPriority w:val="99"/>
    <w:semiHidden/>
    <w:rsid w:val="00B46855"/>
    <w:rPr>
      <w:rFonts w:ascii="Times New Roman" w:eastAsia="Times New Roman" w:hAnsi="Times New Roman" w:cs="Times New Roman"/>
    </w:rPr>
  </w:style>
  <w:style w:type="table" w:styleId="TableGrid">
    <w:name w:val="Table Grid"/>
    <w:basedOn w:val="TableNormal"/>
    <w:uiPriority w:val="39"/>
    <w:rsid w:val="00033DD9"/>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06BAB"/>
    <w:rPr>
      <w:i/>
      <w:iCs/>
    </w:rPr>
  </w:style>
  <w:style w:type="character" w:customStyle="1" w:styleId="Heading3Char">
    <w:name w:val="Heading 3 Char"/>
    <w:basedOn w:val="DefaultParagraphFont"/>
    <w:link w:val="Heading3"/>
    <w:uiPriority w:val="9"/>
    <w:rsid w:val="00E3550E"/>
    <w:rPr>
      <w:rFonts w:asciiTheme="majorHAnsi" w:eastAsiaTheme="majorEastAsia" w:hAnsiTheme="majorHAnsi" w:cstheme="majorBidi"/>
      <w:color w:val="1F3763" w:themeColor="accent1" w:themeShade="7F"/>
    </w:rPr>
  </w:style>
  <w:style w:type="paragraph" w:customStyle="1" w:styleId="xmsonormal">
    <w:name w:val="x_msonormal"/>
    <w:basedOn w:val="Normal"/>
    <w:rsid w:val="00EC6674"/>
    <w:pPr>
      <w:spacing w:before="100" w:beforeAutospacing="1" w:after="100" w:afterAutospacing="1"/>
    </w:pPr>
  </w:style>
  <w:style w:type="paragraph" w:customStyle="1" w:styleId="xmsolistparagraph">
    <w:name w:val="x_msolistparagraph"/>
    <w:basedOn w:val="Normal"/>
    <w:rsid w:val="00EC66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3002">
      <w:bodyDiv w:val="1"/>
      <w:marLeft w:val="0"/>
      <w:marRight w:val="0"/>
      <w:marTop w:val="0"/>
      <w:marBottom w:val="0"/>
      <w:divBdr>
        <w:top w:val="none" w:sz="0" w:space="0" w:color="auto"/>
        <w:left w:val="none" w:sz="0" w:space="0" w:color="auto"/>
        <w:bottom w:val="none" w:sz="0" w:space="0" w:color="auto"/>
        <w:right w:val="none" w:sz="0" w:space="0" w:color="auto"/>
      </w:divBdr>
    </w:div>
    <w:div w:id="37317514">
      <w:bodyDiv w:val="1"/>
      <w:marLeft w:val="0"/>
      <w:marRight w:val="0"/>
      <w:marTop w:val="0"/>
      <w:marBottom w:val="0"/>
      <w:divBdr>
        <w:top w:val="none" w:sz="0" w:space="0" w:color="auto"/>
        <w:left w:val="none" w:sz="0" w:space="0" w:color="auto"/>
        <w:bottom w:val="none" w:sz="0" w:space="0" w:color="auto"/>
        <w:right w:val="none" w:sz="0" w:space="0" w:color="auto"/>
      </w:divBdr>
      <w:divsChild>
        <w:div w:id="467548313">
          <w:marLeft w:val="0"/>
          <w:marRight w:val="0"/>
          <w:marTop w:val="0"/>
          <w:marBottom w:val="0"/>
          <w:divBdr>
            <w:top w:val="none" w:sz="0" w:space="0" w:color="auto"/>
            <w:left w:val="none" w:sz="0" w:space="0" w:color="auto"/>
            <w:bottom w:val="none" w:sz="0" w:space="0" w:color="auto"/>
            <w:right w:val="none" w:sz="0" w:space="0" w:color="auto"/>
          </w:divBdr>
        </w:div>
        <w:div w:id="1040671411">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402182">
              <w:marLeft w:val="0"/>
              <w:marRight w:val="0"/>
              <w:marTop w:val="0"/>
              <w:marBottom w:val="0"/>
              <w:divBdr>
                <w:top w:val="none" w:sz="0" w:space="0" w:color="auto"/>
                <w:left w:val="none" w:sz="0" w:space="0" w:color="auto"/>
                <w:bottom w:val="none" w:sz="0" w:space="0" w:color="auto"/>
                <w:right w:val="none" w:sz="0" w:space="0" w:color="auto"/>
              </w:divBdr>
            </w:div>
            <w:div w:id="1594704000">
              <w:marLeft w:val="0"/>
              <w:marRight w:val="0"/>
              <w:marTop w:val="0"/>
              <w:marBottom w:val="0"/>
              <w:divBdr>
                <w:top w:val="none" w:sz="0" w:space="0" w:color="auto"/>
                <w:left w:val="none" w:sz="0" w:space="0" w:color="auto"/>
                <w:bottom w:val="none" w:sz="0" w:space="0" w:color="auto"/>
                <w:right w:val="none" w:sz="0" w:space="0" w:color="auto"/>
              </w:divBdr>
            </w:div>
            <w:div w:id="2107114114">
              <w:marLeft w:val="0"/>
              <w:marRight w:val="0"/>
              <w:marTop w:val="0"/>
              <w:marBottom w:val="0"/>
              <w:divBdr>
                <w:top w:val="none" w:sz="0" w:space="0" w:color="auto"/>
                <w:left w:val="none" w:sz="0" w:space="0" w:color="auto"/>
                <w:bottom w:val="none" w:sz="0" w:space="0" w:color="auto"/>
                <w:right w:val="none" w:sz="0" w:space="0" w:color="auto"/>
              </w:divBdr>
            </w:div>
          </w:divsChild>
        </w:div>
        <w:div w:id="511452563">
          <w:marLeft w:val="0"/>
          <w:marRight w:val="0"/>
          <w:marTop w:val="0"/>
          <w:marBottom w:val="0"/>
          <w:divBdr>
            <w:top w:val="none" w:sz="0" w:space="0" w:color="auto"/>
            <w:left w:val="none" w:sz="0" w:space="0" w:color="auto"/>
            <w:bottom w:val="none" w:sz="0" w:space="0" w:color="auto"/>
            <w:right w:val="none" w:sz="0" w:space="0" w:color="auto"/>
          </w:divBdr>
          <w:divsChild>
            <w:div w:id="220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8331">
      <w:bodyDiv w:val="1"/>
      <w:marLeft w:val="0"/>
      <w:marRight w:val="0"/>
      <w:marTop w:val="0"/>
      <w:marBottom w:val="0"/>
      <w:divBdr>
        <w:top w:val="none" w:sz="0" w:space="0" w:color="auto"/>
        <w:left w:val="none" w:sz="0" w:space="0" w:color="auto"/>
        <w:bottom w:val="none" w:sz="0" w:space="0" w:color="auto"/>
        <w:right w:val="none" w:sz="0" w:space="0" w:color="auto"/>
      </w:divBdr>
    </w:div>
    <w:div w:id="58477890">
      <w:bodyDiv w:val="1"/>
      <w:marLeft w:val="0"/>
      <w:marRight w:val="0"/>
      <w:marTop w:val="0"/>
      <w:marBottom w:val="0"/>
      <w:divBdr>
        <w:top w:val="none" w:sz="0" w:space="0" w:color="auto"/>
        <w:left w:val="none" w:sz="0" w:space="0" w:color="auto"/>
        <w:bottom w:val="none" w:sz="0" w:space="0" w:color="auto"/>
        <w:right w:val="none" w:sz="0" w:space="0" w:color="auto"/>
      </w:divBdr>
    </w:div>
    <w:div w:id="69888331">
      <w:bodyDiv w:val="1"/>
      <w:marLeft w:val="0"/>
      <w:marRight w:val="0"/>
      <w:marTop w:val="0"/>
      <w:marBottom w:val="0"/>
      <w:divBdr>
        <w:top w:val="none" w:sz="0" w:space="0" w:color="auto"/>
        <w:left w:val="none" w:sz="0" w:space="0" w:color="auto"/>
        <w:bottom w:val="none" w:sz="0" w:space="0" w:color="auto"/>
        <w:right w:val="none" w:sz="0" w:space="0" w:color="auto"/>
      </w:divBdr>
    </w:div>
    <w:div w:id="120003455">
      <w:bodyDiv w:val="1"/>
      <w:marLeft w:val="0"/>
      <w:marRight w:val="0"/>
      <w:marTop w:val="0"/>
      <w:marBottom w:val="0"/>
      <w:divBdr>
        <w:top w:val="none" w:sz="0" w:space="0" w:color="auto"/>
        <w:left w:val="none" w:sz="0" w:space="0" w:color="auto"/>
        <w:bottom w:val="none" w:sz="0" w:space="0" w:color="auto"/>
        <w:right w:val="none" w:sz="0" w:space="0" w:color="auto"/>
      </w:divBdr>
      <w:divsChild>
        <w:div w:id="1107503864">
          <w:marLeft w:val="0"/>
          <w:marRight w:val="0"/>
          <w:marTop w:val="0"/>
          <w:marBottom w:val="0"/>
          <w:divBdr>
            <w:top w:val="none" w:sz="0" w:space="0" w:color="auto"/>
            <w:left w:val="none" w:sz="0" w:space="0" w:color="auto"/>
            <w:bottom w:val="none" w:sz="0" w:space="0" w:color="auto"/>
            <w:right w:val="none" w:sz="0" w:space="0" w:color="auto"/>
          </w:divBdr>
          <w:divsChild>
            <w:div w:id="853880510">
              <w:marLeft w:val="0"/>
              <w:marRight w:val="0"/>
              <w:marTop w:val="0"/>
              <w:marBottom w:val="0"/>
              <w:divBdr>
                <w:top w:val="none" w:sz="0" w:space="0" w:color="auto"/>
                <w:left w:val="none" w:sz="0" w:space="0" w:color="auto"/>
                <w:bottom w:val="none" w:sz="0" w:space="0" w:color="auto"/>
                <w:right w:val="none" w:sz="0" w:space="0" w:color="auto"/>
              </w:divBdr>
              <w:divsChild>
                <w:div w:id="1185171682">
                  <w:marLeft w:val="0"/>
                  <w:marRight w:val="0"/>
                  <w:marTop w:val="0"/>
                  <w:marBottom w:val="0"/>
                  <w:divBdr>
                    <w:top w:val="none" w:sz="0" w:space="0" w:color="auto"/>
                    <w:left w:val="none" w:sz="0" w:space="0" w:color="auto"/>
                    <w:bottom w:val="none" w:sz="0" w:space="0" w:color="auto"/>
                    <w:right w:val="none" w:sz="0" w:space="0" w:color="auto"/>
                  </w:divBdr>
                  <w:divsChild>
                    <w:div w:id="123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2708">
      <w:bodyDiv w:val="1"/>
      <w:marLeft w:val="0"/>
      <w:marRight w:val="0"/>
      <w:marTop w:val="0"/>
      <w:marBottom w:val="0"/>
      <w:divBdr>
        <w:top w:val="none" w:sz="0" w:space="0" w:color="auto"/>
        <w:left w:val="none" w:sz="0" w:space="0" w:color="auto"/>
        <w:bottom w:val="none" w:sz="0" w:space="0" w:color="auto"/>
        <w:right w:val="none" w:sz="0" w:space="0" w:color="auto"/>
      </w:divBdr>
      <w:divsChild>
        <w:div w:id="1504203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638848">
              <w:marLeft w:val="0"/>
              <w:marRight w:val="0"/>
              <w:marTop w:val="0"/>
              <w:marBottom w:val="0"/>
              <w:divBdr>
                <w:top w:val="none" w:sz="0" w:space="0" w:color="auto"/>
                <w:left w:val="none" w:sz="0" w:space="0" w:color="auto"/>
                <w:bottom w:val="none" w:sz="0" w:space="0" w:color="auto"/>
                <w:right w:val="none" w:sz="0" w:space="0" w:color="auto"/>
              </w:divBdr>
              <w:divsChild>
                <w:div w:id="21436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01">
      <w:bodyDiv w:val="1"/>
      <w:marLeft w:val="0"/>
      <w:marRight w:val="0"/>
      <w:marTop w:val="0"/>
      <w:marBottom w:val="0"/>
      <w:divBdr>
        <w:top w:val="none" w:sz="0" w:space="0" w:color="auto"/>
        <w:left w:val="none" w:sz="0" w:space="0" w:color="auto"/>
        <w:bottom w:val="none" w:sz="0" w:space="0" w:color="auto"/>
        <w:right w:val="none" w:sz="0" w:space="0" w:color="auto"/>
      </w:divBdr>
      <w:divsChild>
        <w:div w:id="1412241810">
          <w:marLeft w:val="0"/>
          <w:marRight w:val="0"/>
          <w:marTop w:val="0"/>
          <w:marBottom w:val="0"/>
          <w:divBdr>
            <w:top w:val="none" w:sz="0" w:space="0" w:color="auto"/>
            <w:left w:val="none" w:sz="0" w:space="0" w:color="auto"/>
            <w:bottom w:val="none" w:sz="0" w:space="0" w:color="auto"/>
            <w:right w:val="none" w:sz="0" w:space="0" w:color="auto"/>
          </w:divBdr>
          <w:divsChild>
            <w:div w:id="318047955">
              <w:marLeft w:val="0"/>
              <w:marRight w:val="0"/>
              <w:marTop w:val="0"/>
              <w:marBottom w:val="0"/>
              <w:divBdr>
                <w:top w:val="none" w:sz="0" w:space="0" w:color="auto"/>
                <w:left w:val="none" w:sz="0" w:space="0" w:color="auto"/>
                <w:bottom w:val="none" w:sz="0" w:space="0" w:color="auto"/>
                <w:right w:val="none" w:sz="0" w:space="0" w:color="auto"/>
              </w:divBdr>
              <w:divsChild>
                <w:div w:id="1046297391">
                  <w:marLeft w:val="0"/>
                  <w:marRight w:val="0"/>
                  <w:marTop w:val="0"/>
                  <w:marBottom w:val="0"/>
                  <w:divBdr>
                    <w:top w:val="none" w:sz="0" w:space="0" w:color="auto"/>
                    <w:left w:val="none" w:sz="0" w:space="0" w:color="auto"/>
                    <w:bottom w:val="none" w:sz="0" w:space="0" w:color="auto"/>
                    <w:right w:val="none" w:sz="0" w:space="0" w:color="auto"/>
                  </w:divBdr>
                  <w:divsChild>
                    <w:div w:id="1389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276">
      <w:bodyDiv w:val="1"/>
      <w:marLeft w:val="0"/>
      <w:marRight w:val="0"/>
      <w:marTop w:val="0"/>
      <w:marBottom w:val="0"/>
      <w:divBdr>
        <w:top w:val="none" w:sz="0" w:space="0" w:color="auto"/>
        <w:left w:val="none" w:sz="0" w:space="0" w:color="auto"/>
        <w:bottom w:val="none" w:sz="0" w:space="0" w:color="auto"/>
        <w:right w:val="none" w:sz="0" w:space="0" w:color="auto"/>
      </w:divBdr>
      <w:divsChild>
        <w:div w:id="1769232384">
          <w:marLeft w:val="0"/>
          <w:marRight w:val="0"/>
          <w:marTop w:val="0"/>
          <w:marBottom w:val="0"/>
          <w:divBdr>
            <w:top w:val="none" w:sz="0" w:space="0" w:color="auto"/>
            <w:left w:val="none" w:sz="0" w:space="0" w:color="auto"/>
            <w:bottom w:val="none" w:sz="0" w:space="0" w:color="auto"/>
            <w:right w:val="none" w:sz="0" w:space="0" w:color="auto"/>
          </w:divBdr>
        </w:div>
      </w:divsChild>
    </w:div>
    <w:div w:id="158616983">
      <w:bodyDiv w:val="1"/>
      <w:marLeft w:val="0"/>
      <w:marRight w:val="0"/>
      <w:marTop w:val="0"/>
      <w:marBottom w:val="0"/>
      <w:divBdr>
        <w:top w:val="none" w:sz="0" w:space="0" w:color="auto"/>
        <w:left w:val="none" w:sz="0" w:space="0" w:color="auto"/>
        <w:bottom w:val="none" w:sz="0" w:space="0" w:color="auto"/>
        <w:right w:val="none" w:sz="0" w:space="0" w:color="auto"/>
      </w:divBdr>
    </w:div>
    <w:div w:id="160587590">
      <w:bodyDiv w:val="1"/>
      <w:marLeft w:val="0"/>
      <w:marRight w:val="0"/>
      <w:marTop w:val="0"/>
      <w:marBottom w:val="0"/>
      <w:divBdr>
        <w:top w:val="none" w:sz="0" w:space="0" w:color="auto"/>
        <w:left w:val="none" w:sz="0" w:space="0" w:color="auto"/>
        <w:bottom w:val="none" w:sz="0" w:space="0" w:color="auto"/>
        <w:right w:val="none" w:sz="0" w:space="0" w:color="auto"/>
      </w:divBdr>
    </w:div>
    <w:div w:id="199637468">
      <w:bodyDiv w:val="1"/>
      <w:marLeft w:val="0"/>
      <w:marRight w:val="0"/>
      <w:marTop w:val="0"/>
      <w:marBottom w:val="0"/>
      <w:divBdr>
        <w:top w:val="none" w:sz="0" w:space="0" w:color="auto"/>
        <w:left w:val="none" w:sz="0" w:space="0" w:color="auto"/>
        <w:bottom w:val="none" w:sz="0" w:space="0" w:color="auto"/>
        <w:right w:val="none" w:sz="0" w:space="0" w:color="auto"/>
      </w:divBdr>
    </w:div>
    <w:div w:id="302469992">
      <w:bodyDiv w:val="1"/>
      <w:marLeft w:val="0"/>
      <w:marRight w:val="0"/>
      <w:marTop w:val="0"/>
      <w:marBottom w:val="0"/>
      <w:divBdr>
        <w:top w:val="none" w:sz="0" w:space="0" w:color="auto"/>
        <w:left w:val="none" w:sz="0" w:space="0" w:color="auto"/>
        <w:bottom w:val="none" w:sz="0" w:space="0" w:color="auto"/>
        <w:right w:val="none" w:sz="0" w:space="0" w:color="auto"/>
      </w:divBdr>
      <w:divsChild>
        <w:div w:id="757363383">
          <w:marLeft w:val="0"/>
          <w:marRight w:val="0"/>
          <w:marTop w:val="0"/>
          <w:marBottom w:val="0"/>
          <w:divBdr>
            <w:top w:val="none" w:sz="0" w:space="0" w:color="auto"/>
            <w:left w:val="none" w:sz="0" w:space="0" w:color="auto"/>
            <w:bottom w:val="none" w:sz="0" w:space="0" w:color="auto"/>
            <w:right w:val="none" w:sz="0" w:space="0" w:color="auto"/>
          </w:divBdr>
          <w:divsChild>
            <w:div w:id="948317595">
              <w:marLeft w:val="0"/>
              <w:marRight w:val="0"/>
              <w:marTop w:val="0"/>
              <w:marBottom w:val="0"/>
              <w:divBdr>
                <w:top w:val="none" w:sz="0" w:space="0" w:color="auto"/>
                <w:left w:val="none" w:sz="0" w:space="0" w:color="auto"/>
                <w:bottom w:val="none" w:sz="0" w:space="0" w:color="auto"/>
                <w:right w:val="none" w:sz="0" w:space="0" w:color="auto"/>
              </w:divBdr>
              <w:divsChild>
                <w:div w:id="1855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7512">
      <w:bodyDiv w:val="1"/>
      <w:marLeft w:val="0"/>
      <w:marRight w:val="0"/>
      <w:marTop w:val="0"/>
      <w:marBottom w:val="0"/>
      <w:divBdr>
        <w:top w:val="none" w:sz="0" w:space="0" w:color="auto"/>
        <w:left w:val="none" w:sz="0" w:space="0" w:color="auto"/>
        <w:bottom w:val="none" w:sz="0" w:space="0" w:color="auto"/>
        <w:right w:val="none" w:sz="0" w:space="0" w:color="auto"/>
      </w:divBdr>
      <w:divsChild>
        <w:div w:id="18894197">
          <w:marLeft w:val="0"/>
          <w:marRight w:val="0"/>
          <w:marTop w:val="0"/>
          <w:marBottom w:val="0"/>
          <w:divBdr>
            <w:top w:val="none" w:sz="0" w:space="0" w:color="auto"/>
            <w:left w:val="none" w:sz="0" w:space="0" w:color="auto"/>
            <w:bottom w:val="none" w:sz="0" w:space="0" w:color="auto"/>
            <w:right w:val="none" w:sz="0" w:space="0" w:color="auto"/>
          </w:divBdr>
          <w:divsChild>
            <w:div w:id="1602296447">
              <w:marLeft w:val="0"/>
              <w:marRight w:val="0"/>
              <w:marTop w:val="0"/>
              <w:marBottom w:val="0"/>
              <w:divBdr>
                <w:top w:val="none" w:sz="0" w:space="0" w:color="auto"/>
                <w:left w:val="none" w:sz="0" w:space="0" w:color="auto"/>
                <w:bottom w:val="none" w:sz="0" w:space="0" w:color="auto"/>
                <w:right w:val="none" w:sz="0" w:space="0" w:color="auto"/>
              </w:divBdr>
              <w:divsChild>
                <w:div w:id="1554803632">
                  <w:marLeft w:val="0"/>
                  <w:marRight w:val="0"/>
                  <w:marTop w:val="0"/>
                  <w:marBottom w:val="0"/>
                  <w:divBdr>
                    <w:top w:val="none" w:sz="0" w:space="0" w:color="auto"/>
                    <w:left w:val="none" w:sz="0" w:space="0" w:color="auto"/>
                    <w:bottom w:val="none" w:sz="0" w:space="0" w:color="auto"/>
                    <w:right w:val="none" w:sz="0" w:space="0" w:color="auto"/>
                  </w:divBdr>
                  <w:divsChild>
                    <w:div w:id="12674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148167">
      <w:bodyDiv w:val="1"/>
      <w:marLeft w:val="0"/>
      <w:marRight w:val="0"/>
      <w:marTop w:val="0"/>
      <w:marBottom w:val="0"/>
      <w:divBdr>
        <w:top w:val="none" w:sz="0" w:space="0" w:color="auto"/>
        <w:left w:val="none" w:sz="0" w:space="0" w:color="auto"/>
        <w:bottom w:val="none" w:sz="0" w:space="0" w:color="auto"/>
        <w:right w:val="none" w:sz="0" w:space="0" w:color="auto"/>
      </w:divBdr>
      <w:divsChild>
        <w:div w:id="121099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61">
              <w:marLeft w:val="0"/>
              <w:marRight w:val="0"/>
              <w:marTop w:val="0"/>
              <w:marBottom w:val="0"/>
              <w:divBdr>
                <w:top w:val="none" w:sz="0" w:space="0" w:color="auto"/>
                <w:left w:val="none" w:sz="0" w:space="0" w:color="auto"/>
                <w:bottom w:val="none" w:sz="0" w:space="0" w:color="auto"/>
                <w:right w:val="none" w:sz="0" w:space="0" w:color="auto"/>
              </w:divBdr>
              <w:divsChild>
                <w:div w:id="19345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6242">
      <w:bodyDiv w:val="1"/>
      <w:marLeft w:val="0"/>
      <w:marRight w:val="0"/>
      <w:marTop w:val="0"/>
      <w:marBottom w:val="0"/>
      <w:divBdr>
        <w:top w:val="none" w:sz="0" w:space="0" w:color="auto"/>
        <w:left w:val="none" w:sz="0" w:space="0" w:color="auto"/>
        <w:bottom w:val="none" w:sz="0" w:space="0" w:color="auto"/>
        <w:right w:val="none" w:sz="0" w:space="0" w:color="auto"/>
      </w:divBdr>
    </w:div>
    <w:div w:id="372076633">
      <w:bodyDiv w:val="1"/>
      <w:marLeft w:val="0"/>
      <w:marRight w:val="0"/>
      <w:marTop w:val="0"/>
      <w:marBottom w:val="0"/>
      <w:divBdr>
        <w:top w:val="none" w:sz="0" w:space="0" w:color="auto"/>
        <w:left w:val="none" w:sz="0" w:space="0" w:color="auto"/>
        <w:bottom w:val="none" w:sz="0" w:space="0" w:color="auto"/>
        <w:right w:val="none" w:sz="0" w:space="0" w:color="auto"/>
      </w:divBdr>
    </w:div>
    <w:div w:id="397830085">
      <w:bodyDiv w:val="1"/>
      <w:marLeft w:val="0"/>
      <w:marRight w:val="0"/>
      <w:marTop w:val="0"/>
      <w:marBottom w:val="0"/>
      <w:divBdr>
        <w:top w:val="none" w:sz="0" w:space="0" w:color="auto"/>
        <w:left w:val="none" w:sz="0" w:space="0" w:color="auto"/>
        <w:bottom w:val="none" w:sz="0" w:space="0" w:color="auto"/>
        <w:right w:val="none" w:sz="0" w:space="0" w:color="auto"/>
      </w:divBdr>
      <w:divsChild>
        <w:div w:id="1135441762">
          <w:marLeft w:val="0"/>
          <w:marRight w:val="0"/>
          <w:marTop w:val="0"/>
          <w:marBottom w:val="0"/>
          <w:divBdr>
            <w:top w:val="none" w:sz="0" w:space="0" w:color="auto"/>
            <w:left w:val="none" w:sz="0" w:space="0" w:color="auto"/>
            <w:bottom w:val="none" w:sz="0" w:space="0" w:color="auto"/>
            <w:right w:val="none" w:sz="0" w:space="0" w:color="auto"/>
          </w:divBdr>
          <w:divsChild>
            <w:div w:id="994990702">
              <w:marLeft w:val="0"/>
              <w:marRight w:val="0"/>
              <w:marTop w:val="0"/>
              <w:marBottom w:val="0"/>
              <w:divBdr>
                <w:top w:val="none" w:sz="0" w:space="0" w:color="auto"/>
                <w:left w:val="none" w:sz="0" w:space="0" w:color="auto"/>
                <w:bottom w:val="none" w:sz="0" w:space="0" w:color="auto"/>
                <w:right w:val="none" w:sz="0" w:space="0" w:color="auto"/>
              </w:divBdr>
              <w:divsChild>
                <w:div w:id="20663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71960">
      <w:bodyDiv w:val="1"/>
      <w:marLeft w:val="0"/>
      <w:marRight w:val="0"/>
      <w:marTop w:val="0"/>
      <w:marBottom w:val="0"/>
      <w:divBdr>
        <w:top w:val="none" w:sz="0" w:space="0" w:color="auto"/>
        <w:left w:val="none" w:sz="0" w:space="0" w:color="auto"/>
        <w:bottom w:val="none" w:sz="0" w:space="0" w:color="auto"/>
        <w:right w:val="none" w:sz="0" w:space="0" w:color="auto"/>
      </w:divBdr>
      <w:divsChild>
        <w:div w:id="1709256127">
          <w:marLeft w:val="0"/>
          <w:marRight w:val="0"/>
          <w:marTop w:val="0"/>
          <w:marBottom w:val="0"/>
          <w:divBdr>
            <w:top w:val="none" w:sz="0" w:space="0" w:color="auto"/>
            <w:left w:val="none" w:sz="0" w:space="0" w:color="auto"/>
            <w:bottom w:val="none" w:sz="0" w:space="0" w:color="auto"/>
            <w:right w:val="none" w:sz="0" w:space="0" w:color="auto"/>
          </w:divBdr>
          <w:divsChild>
            <w:div w:id="908156113">
              <w:marLeft w:val="0"/>
              <w:marRight w:val="0"/>
              <w:marTop w:val="0"/>
              <w:marBottom w:val="0"/>
              <w:divBdr>
                <w:top w:val="none" w:sz="0" w:space="0" w:color="auto"/>
                <w:left w:val="none" w:sz="0" w:space="0" w:color="auto"/>
                <w:bottom w:val="none" w:sz="0" w:space="0" w:color="auto"/>
                <w:right w:val="none" w:sz="0" w:space="0" w:color="auto"/>
              </w:divBdr>
              <w:divsChild>
                <w:div w:id="1717240036">
                  <w:marLeft w:val="0"/>
                  <w:marRight w:val="0"/>
                  <w:marTop w:val="0"/>
                  <w:marBottom w:val="0"/>
                  <w:divBdr>
                    <w:top w:val="none" w:sz="0" w:space="0" w:color="auto"/>
                    <w:left w:val="none" w:sz="0" w:space="0" w:color="auto"/>
                    <w:bottom w:val="none" w:sz="0" w:space="0" w:color="auto"/>
                    <w:right w:val="none" w:sz="0" w:space="0" w:color="auto"/>
                  </w:divBdr>
                  <w:divsChild>
                    <w:div w:id="8777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8972">
      <w:bodyDiv w:val="1"/>
      <w:marLeft w:val="0"/>
      <w:marRight w:val="0"/>
      <w:marTop w:val="0"/>
      <w:marBottom w:val="0"/>
      <w:divBdr>
        <w:top w:val="none" w:sz="0" w:space="0" w:color="auto"/>
        <w:left w:val="none" w:sz="0" w:space="0" w:color="auto"/>
        <w:bottom w:val="none" w:sz="0" w:space="0" w:color="auto"/>
        <w:right w:val="none" w:sz="0" w:space="0" w:color="auto"/>
      </w:divBdr>
      <w:divsChild>
        <w:div w:id="380834411">
          <w:marLeft w:val="0"/>
          <w:marRight w:val="0"/>
          <w:marTop w:val="0"/>
          <w:marBottom w:val="0"/>
          <w:divBdr>
            <w:top w:val="none" w:sz="0" w:space="0" w:color="auto"/>
            <w:left w:val="none" w:sz="0" w:space="0" w:color="auto"/>
            <w:bottom w:val="none" w:sz="0" w:space="0" w:color="auto"/>
            <w:right w:val="none" w:sz="0" w:space="0" w:color="auto"/>
          </w:divBdr>
        </w:div>
        <w:div w:id="580532251">
          <w:marLeft w:val="0"/>
          <w:marRight w:val="0"/>
          <w:marTop w:val="0"/>
          <w:marBottom w:val="0"/>
          <w:divBdr>
            <w:top w:val="none" w:sz="0" w:space="0" w:color="auto"/>
            <w:left w:val="none" w:sz="0" w:space="0" w:color="auto"/>
            <w:bottom w:val="none" w:sz="0" w:space="0" w:color="auto"/>
            <w:right w:val="none" w:sz="0" w:space="0" w:color="auto"/>
          </w:divBdr>
        </w:div>
        <w:div w:id="2001418170">
          <w:marLeft w:val="0"/>
          <w:marRight w:val="0"/>
          <w:marTop w:val="0"/>
          <w:marBottom w:val="0"/>
          <w:divBdr>
            <w:top w:val="none" w:sz="0" w:space="0" w:color="auto"/>
            <w:left w:val="none" w:sz="0" w:space="0" w:color="auto"/>
            <w:bottom w:val="none" w:sz="0" w:space="0" w:color="auto"/>
            <w:right w:val="none" w:sz="0" w:space="0" w:color="auto"/>
          </w:divBdr>
        </w:div>
        <w:div w:id="52241028">
          <w:marLeft w:val="0"/>
          <w:marRight w:val="0"/>
          <w:marTop w:val="0"/>
          <w:marBottom w:val="0"/>
          <w:divBdr>
            <w:top w:val="none" w:sz="0" w:space="0" w:color="auto"/>
            <w:left w:val="none" w:sz="0" w:space="0" w:color="auto"/>
            <w:bottom w:val="none" w:sz="0" w:space="0" w:color="auto"/>
            <w:right w:val="none" w:sz="0" w:space="0" w:color="auto"/>
          </w:divBdr>
        </w:div>
        <w:div w:id="829371156">
          <w:marLeft w:val="0"/>
          <w:marRight w:val="0"/>
          <w:marTop w:val="0"/>
          <w:marBottom w:val="0"/>
          <w:divBdr>
            <w:top w:val="none" w:sz="0" w:space="0" w:color="auto"/>
            <w:left w:val="none" w:sz="0" w:space="0" w:color="auto"/>
            <w:bottom w:val="none" w:sz="0" w:space="0" w:color="auto"/>
            <w:right w:val="none" w:sz="0" w:space="0" w:color="auto"/>
          </w:divBdr>
        </w:div>
        <w:div w:id="410664316">
          <w:marLeft w:val="0"/>
          <w:marRight w:val="0"/>
          <w:marTop w:val="0"/>
          <w:marBottom w:val="0"/>
          <w:divBdr>
            <w:top w:val="none" w:sz="0" w:space="0" w:color="auto"/>
            <w:left w:val="none" w:sz="0" w:space="0" w:color="auto"/>
            <w:bottom w:val="none" w:sz="0" w:space="0" w:color="auto"/>
            <w:right w:val="none" w:sz="0" w:space="0" w:color="auto"/>
          </w:divBdr>
        </w:div>
        <w:div w:id="1739594077">
          <w:marLeft w:val="0"/>
          <w:marRight w:val="0"/>
          <w:marTop w:val="0"/>
          <w:marBottom w:val="0"/>
          <w:divBdr>
            <w:top w:val="none" w:sz="0" w:space="0" w:color="auto"/>
            <w:left w:val="none" w:sz="0" w:space="0" w:color="auto"/>
            <w:bottom w:val="none" w:sz="0" w:space="0" w:color="auto"/>
            <w:right w:val="none" w:sz="0" w:space="0" w:color="auto"/>
          </w:divBdr>
        </w:div>
      </w:divsChild>
    </w:div>
    <w:div w:id="438263194">
      <w:bodyDiv w:val="1"/>
      <w:marLeft w:val="0"/>
      <w:marRight w:val="0"/>
      <w:marTop w:val="0"/>
      <w:marBottom w:val="0"/>
      <w:divBdr>
        <w:top w:val="none" w:sz="0" w:space="0" w:color="auto"/>
        <w:left w:val="none" w:sz="0" w:space="0" w:color="auto"/>
        <w:bottom w:val="none" w:sz="0" w:space="0" w:color="auto"/>
        <w:right w:val="none" w:sz="0" w:space="0" w:color="auto"/>
      </w:divBdr>
    </w:div>
    <w:div w:id="484006904">
      <w:bodyDiv w:val="1"/>
      <w:marLeft w:val="0"/>
      <w:marRight w:val="0"/>
      <w:marTop w:val="0"/>
      <w:marBottom w:val="0"/>
      <w:divBdr>
        <w:top w:val="none" w:sz="0" w:space="0" w:color="auto"/>
        <w:left w:val="none" w:sz="0" w:space="0" w:color="auto"/>
        <w:bottom w:val="none" w:sz="0" w:space="0" w:color="auto"/>
        <w:right w:val="none" w:sz="0" w:space="0" w:color="auto"/>
      </w:divBdr>
    </w:div>
    <w:div w:id="533663179">
      <w:bodyDiv w:val="1"/>
      <w:marLeft w:val="0"/>
      <w:marRight w:val="0"/>
      <w:marTop w:val="0"/>
      <w:marBottom w:val="0"/>
      <w:divBdr>
        <w:top w:val="none" w:sz="0" w:space="0" w:color="auto"/>
        <w:left w:val="none" w:sz="0" w:space="0" w:color="auto"/>
        <w:bottom w:val="none" w:sz="0" w:space="0" w:color="auto"/>
        <w:right w:val="none" w:sz="0" w:space="0" w:color="auto"/>
      </w:divBdr>
    </w:div>
    <w:div w:id="552623817">
      <w:bodyDiv w:val="1"/>
      <w:marLeft w:val="0"/>
      <w:marRight w:val="0"/>
      <w:marTop w:val="0"/>
      <w:marBottom w:val="0"/>
      <w:divBdr>
        <w:top w:val="none" w:sz="0" w:space="0" w:color="auto"/>
        <w:left w:val="none" w:sz="0" w:space="0" w:color="auto"/>
        <w:bottom w:val="none" w:sz="0" w:space="0" w:color="auto"/>
        <w:right w:val="none" w:sz="0" w:space="0" w:color="auto"/>
      </w:divBdr>
    </w:div>
    <w:div w:id="614480182">
      <w:bodyDiv w:val="1"/>
      <w:marLeft w:val="0"/>
      <w:marRight w:val="0"/>
      <w:marTop w:val="0"/>
      <w:marBottom w:val="0"/>
      <w:divBdr>
        <w:top w:val="none" w:sz="0" w:space="0" w:color="auto"/>
        <w:left w:val="none" w:sz="0" w:space="0" w:color="auto"/>
        <w:bottom w:val="none" w:sz="0" w:space="0" w:color="auto"/>
        <w:right w:val="none" w:sz="0" w:space="0" w:color="auto"/>
      </w:divBdr>
      <w:divsChild>
        <w:div w:id="93863084">
          <w:marLeft w:val="0"/>
          <w:marRight w:val="0"/>
          <w:marTop w:val="0"/>
          <w:marBottom w:val="0"/>
          <w:divBdr>
            <w:top w:val="none" w:sz="0" w:space="0" w:color="auto"/>
            <w:left w:val="none" w:sz="0" w:space="0" w:color="auto"/>
            <w:bottom w:val="none" w:sz="0" w:space="0" w:color="auto"/>
            <w:right w:val="none" w:sz="0" w:space="0" w:color="auto"/>
          </w:divBdr>
          <w:divsChild>
            <w:div w:id="410784457">
              <w:marLeft w:val="0"/>
              <w:marRight w:val="0"/>
              <w:marTop w:val="0"/>
              <w:marBottom w:val="0"/>
              <w:divBdr>
                <w:top w:val="none" w:sz="0" w:space="0" w:color="auto"/>
                <w:left w:val="none" w:sz="0" w:space="0" w:color="auto"/>
                <w:bottom w:val="none" w:sz="0" w:space="0" w:color="auto"/>
                <w:right w:val="none" w:sz="0" w:space="0" w:color="auto"/>
              </w:divBdr>
              <w:divsChild>
                <w:div w:id="742873155">
                  <w:marLeft w:val="0"/>
                  <w:marRight w:val="0"/>
                  <w:marTop w:val="0"/>
                  <w:marBottom w:val="0"/>
                  <w:divBdr>
                    <w:top w:val="none" w:sz="0" w:space="0" w:color="auto"/>
                    <w:left w:val="none" w:sz="0" w:space="0" w:color="auto"/>
                    <w:bottom w:val="none" w:sz="0" w:space="0" w:color="auto"/>
                    <w:right w:val="none" w:sz="0" w:space="0" w:color="auto"/>
                  </w:divBdr>
                </w:div>
              </w:divsChild>
            </w:div>
            <w:div w:id="346710404">
              <w:marLeft w:val="0"/>
              <w:marRight w:val="0"/>
              <w:marTop w:val="0"/>
              <w:marBottom w:val="0"/>
              <w:divBdr>
                <w:top w:val="none" w:sz="0" w:space="0" w:color="auto"/>
                <w:left w:val="none" w:sz="0" w:space="0" w:color="auto"/>
                <w:bottom w:val="none" w:sz="0" w:space="0" w:color="auto"/>
                <w:right w:val="none" w:sz="0" w:space="0" w:color="auto"/>
              </w:divBdr>
              <w:divsChild>
                <w:div w:id="1088884522">
                  <w:marLeft w:val="0"/>
                  <w:marRight w:val="0"/>
                  <w:marTop w:val="0"/>
                  <w:marBottom w:val="0"/>
                  <w:divBdr>
                    <w:top w:val="none" w:sz="0" w:space="0" w:color="auto"/>
                    <w:left w:val="none" w:sz="0" w:space="0" w:color="auto"/>
                    <w:bottom w:val="none" w:sz="0" w:space="0" w:color="auto"/>
                    <w:right w:val="none" w:sz="0" w:space="0" w:color="auto"/>
                  </w:divBdr>
                </w:div>
                <w:div w:id="1190408209">
                  <w:marLeft w:val="0"/>
                  <w:marRight w:val="0"/>
                  <w:marTop w:val="0"/>
                  <w:marBottom w:val="0"/>
                  <w:divBdr>
                    <w:top w:val="none" w:sz="0" w:space="0" w:color="auto"/>
                    <w:left w:val="none" w:sz="0" w:space="0" w:color="auto"/>
                    <w:bottom w:val="none" w:sz="0" w:space="0" w:color="auto"/>
                    <w:right w:val="none" w:sz="0" w:space="0" w:color="auto"/>
                  </w:divBdr>
                </w:div>
              </w:divsChild>
            </w:div>
            <w:div w:id="1841045760">
              <w:marLeft w:val="0"/>
              <w:marRight w:val="0"/>
              <w:marTop w:val="0"/>
              <w:marBottom w:val="0"/>
              <w:divBdr>
                <w:top w:val="none" w:sz="0" w:space="0" w:color="auto"/>
                <w:left w:val="none" w:sz="0" w:space="0" w:color="auto"/>
                <w:bottom w:val="none" w:sz="0" w:space="0" w:color="auto"/>
                <w:right w:val="none" w:sz="0" w:space="0" w:color="auto"/>
              </w:divBdr>
              <w:divsChild>
                <w:div w:id="12579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52719">
      <w:bodyDiv w:val="1"/>
      <w:marLeft w:val="0"/>
      <w:marRight w:val="0"/>
      <w:marTop w:val="0"/>
      <w:marBottom w:val="0"/>
      <w:divBdr>
        <w:top w:val="none" w:sz="0" w:space="0" w:color="auto"/>
        <w:left w:val="none" w:sz="0" w:space="0" w:color="auto"/>
        <w:bottom w:val="none" w:sz="0" w:space="0" w:color="auto"/>
        <w:right w:val="none" w:sz="0" w:space="0" w:color="auto"/>
      </w:divBdr>
    </w:div>
    <w:div w:id="734935971">
      <w:bodyDiv w:val="1"/>
      <w:marLeft w:val="0"/>
      <w:marRight w:val="0"/>
      <w:marTop w:val="0"/>
      <w:marBottom w:val="0"/>
      <w:divBdr>
        <w:top w:val="none" w:sz="0" w:space="0" w:color="auto"/>
        <w:left w:val="none" w:sz="0" w:space="0" w:color="auto"/>
        <w:bottom w:val="none" w:sz="0" w:space="0" w:color="auto"/>
        <w:right w:val="none" w:sz="0" w:space="0" w:color="auto"/>
      </w:divBdr>
      <w:divsChild>
        <w:div w:id="323968908">
          <w:marLeft w:val="0"/>
          <w:marRight w:val="0"/>
          <w:marTop w:val="0"/>
          <w:marBottom w:val="0"/>
          <w:divBdr>
            <w:top w:val="none" w:sz="0" w:space="0" w:color="auto"/>
            <w:left w:val="none" w:sz="0" w:space="0" w:color="auto"/>
            <w:bottom w:val="none" w:sz="0" w:space="0" w:color="auto"/>
            <w:right w:val="none" w:sz="0" w:space="0" w:color="auto"/>
          </w:divBdr>
          <w:divsChild>
            <w:div w:id="699622464">
              <w:marLeft w:val="0"/>
              <w:marRight w:val="0"/>
              <w:marTop w:val="0"/>
              <w:marBottom w:val="0"/>
              <w:divBdr>
                <w:top w:val="none" w:sz="0" w:space="0" w:color="auto"/>
                <w:left w:val="none" w:sz="0" w:space="0" w:color="auto"/>
                <w:bottom w:val="none" w:sz="0" w:space="0" w:color="auto"/>
                <w:right w:val="none" w:sz="0" w:space="0" w:color="auto"/>
              </w:divBdr>
              <w:divsChild>
                <w:div w:id="3060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9322">
      <w:bodyDiv w:val="1"/>
      <w:marLeft w:val="0"/>
      <w:marRight w:val="0"/>
      <w:marTop w:val="0"/>
      <w:marBottom w:val="0"/>
      <w:divBdr>
        <w:top w:val="none" w:sz="0" w:space="0" w:color="auto"/>
        <w:left w:val="none" w:sz="0" w:space="0" w:color="auto"/>
        <w:bottom w:val="none" w:sz="0" w:space="0" w:color="auto"/>
        <w:right w:val="none" w:sz="0" w:space="0" w:color="auto"/>
      </w:divBdr>
      <w:divsChild>
        <w:div w:id="863444549">
          <w:marLeft w:val="0"/>
          <w:marRight w:val="0"/>
          <w:marTop w:val="0"/>
          <w:marBottom w:val="0"/>
          <w:divBdr>
            <w:top w:val="none" w:sz="0" w:space="0" w:color="auto"/>
            <w:left w:val="none" w:sz="0" w:space="0" w:color="auto"/>
            <w:bottom w:val="none" w:sz="0" w:space="0" w:color="auto"/>
            <w:right w:val="none" w:sz="0" w:space="0" w:color="auto"/>
          </w:divBdr>
          <w:divsChild>
            <w:div w:id="1622413818">
              <w:marLeft w:val="0"/>
              <w:marRight w:val="0"/>
              <w:marTop w:val="0"/>
              <w:marBottom w:val="0"/>
              <w:divBdr>
                <w:top w:val="none" w:sz="0" w:space="0" w:color="auto"/>
                <w:left w:val="none" w:sz="0" w:space="0" w:color="auto"/>
                <w:bottom w:val="none" w:sz="0" w:space="0" w:color="auto"/>
                <w:right w:val="none" w:sz="0" w:space="0" w:color="auto"/>
              </w:divBdr>
              <w:divsChild>
                <w:div w:id="1322320001">
                  <w:marLeft w:val="0"/>
                  <w:marRight w:val="0"/>
                  <w:marTop w:val="0"/>
                  <w:marBottom w:val="0"/>
                  <w:divBdr>
                    <w:top w:val="none" w:sz="0" w:space="0" w:color="auto"/>
                    <w:left w:val="none" w:sz="0" w:space="0" w:color="auto"/>
                    <w:bottom w:val="none" w:sz="0" w:space="0" w:color="auto"/>
                    <w:right w:val="none" w:sz="0" w:space="0" w:color="auto"/>
                  </w:divBdr>
                </w:div>
              </w:divsChild>
            </w:div>
            <w:div w:id="328601472">
              <w:marLeft w:val="0"/>
              <w:marRight w:val="0"/>
              <w:marTop w:val="0"/>
              <w:marBottom w:val="0"/>
              <w:divBdr>
                <w:top w:val="none" w:sz="0" w:space="0" w:color="auto"/>
                <w:left w:val="none" w:sz="0" w:space="0" w:color="auto"/>
                <w:bottom w:val="none" w:sz="0" w:space="0" w:color="auto"/>
                <w:right w:val="none" w:sz="0" w:space="0" w:color="auto"/>
              </w:divBdr>
              <w:divsChild>
                <w:div w:id="109327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6713">
          <w:marLeft w:val="0"/>
          <w:marRight w:val="0"/>
          <w:marTop w:val="0"/>
          <w:marBottom w:val="0"/>
          <w:divBdr>
            <w:top w:val="none" w:sz="0" w:space="0" w:color="auto"/>
            <w:left w:val="none" w:sz="0" w:space="0" w:color="auto"/>
            <w:bottom w:val="none" w:sz="0" w:space="0" w:color="auto"/>
            <w:right w:val="none" w:sz="0" w:space="0" w:color="auto"/>
          </w:divBdr>
          <w:divsChild>
            <w:div w:id="503667794">
              <w:marLeft w:val="0"/>
              <w:marRight w:val="0"/>
              <w:marTop w:val="0"/>
              <w:marBottom w:val="0"/>
              <w:divBdr>
                <w:top w:val="none" w:sz="0" w:space="0" w:color="auto"/>
                <w:left w:val="none" w:sz="0" w:space="0" w:color="auto"/>
                <w:bottom w:val="none" w:sz="0" w:space="0" w:color="auto"/>
                <w:right w:val="none" w:sz="0" w:space="0" w:color="auto"/>
              </w:divBdr>
              <w:divsChild>
                <w:div w:id="10914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96332">
      <w:bodyDiv w:val="1"/>
      <w:marLeft w:val="0"/>
      <w:marRight w:val="0"/>
      <w:marTop w:val="0"/>
      <w:marBottom w:val="0"/>
      <w:divBdr>
        <w:top w:val="none" w:sz="0" w:space="0" w:color="auto"/>
        <w:left w:val="none" w:sz="0" w:space="0" w:color="auto"/>
        <w:bottom w:val="none" w:sz="0" w:space="0" w:color="auto"/>
        <w:right w:val="none" w:sz="0" w:space="0" w:color="auto"/>
      </w:divBdr>
      <w:divsChild>
        <w:div w:id="1319773755">
          <w:marLeft w:val="0"/>
          <w:marRight w:val="0"/>
          <w:marTop w:val="0"/>
          <w:marBottom w:val="0"/>
          <w:divBdr>
            <w:top w:val="none" w:sz="0" w:space="0" w:color="auto"/>
            <w:left w:val="none" w:sz="0" w:space="0" w:color="auto"/>
            <w:bottom w:val="none" w:sz="0" w:space="0" w:color="auto"/>
            <w:right w:val="none" w:sz="0" w:space="0" w:color="auto"/>
          </w:divBdr>
          <w:divsChild>
            <w:div w:id="783770072">
              <w:marLeft w:val="0"/>
              <w:marRight w:val="0"/>
              <w:marTop w:val="0"/>
              <w:marBottom w:val="0"/>
              <w:divBdr>
                <w:top w:val="none" w:sz="0" w:space="0" w:color="auto"/>
                <w:left w:val="none" w:sz="0" w:space="0" w:color="auto"/>
                <w:bottom w:val="none" w:sz="0" w:space="0" w:color="auto"/>
                <w:right w:val="none" w:sz="0" w:space="0" w:color="auto"/>
              </w:divBdr>
              <w:divsChild>
                <w:div w:id="1787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5011">
      <w:bodyDiv w:val="1"/>
      <w:marLeft w:val="0"/>
      <w:marRight w:val="0"/>
      <w:marTop w:val="0"/>
      <w:marBottom w:val="0"/>
      <w:divBdr>
        <w:top w:val="none" w:sz="0" w:space="0" w:color="auto"/>
        <w:left w:val="none" w:sz="0" w:space="0" w:color="auto"/>
        <w:bottom w:val="none" w:sz="0" w:space="0" w:color="auto"/>
        <w:right w:val="none" w:sz="0" w:space="0" w:color="auto"/>
      </w:divBdr>
    </w:div>
    <w:div w:id="859899795">
      <w:bodyDiv w:val="1"/>
      <w:marLeft w:val="0"/>
      <w:marRight w:val="0"/>
      <w:marTop w:val="0"/>
      <w:marBottom w:val="0"/>
      <w:divBdr>
        <w:top w:val="none" w:sz="0" w:space="0" w:color="auto"/>
        <w:left w:val="none" w:sz="0" w:space="0" w:color="auto"/>
        <w:bottom w:val="none" w:sz="0" w:space="0" w:color="auto"/>
        <w:right w:val="none" w:sz="0" w:space="0" w:color="auto"/>
      </w:divBdr>
      <w:divsChild>
        <w:div w:id="1252349702">
          <w:marLeft w:val="0"/>
          <w:marRight w:val="0"/>
          <w:marTop w:val="0"/>
          <w:marBottom w:val="0"/>
          <w:divBdr>
            <w:top w:val="none" w:sz="0" w:space="0" w:color="auto"/>
            <w:left w:val="none" w:sz="0" w:space="0" w:color="auto"/>
            <w:bottom w:val="none" w:sz="0" w:space="0" w:color="auto"/>
            <w:right w:val="none" w:sz="0" w:space="0" w:color="auto"/>
          </w:divBdr>
        </w:div>
      </w:divsChild>
    </w:div>
    <w:div w:id="870919618">
      <w:bodyDiv w:val="1"/>
      <w:marLeft w:val="0"/>
      <w:marRight w:val="0"/>
      <w:marTop w:val="0"/>
      <w:marBottom w:val="0"/>
      <w:divBdr>
        <w:top w:val="none" w:sz="0" w:space="0" w:color="auto"/>
        <w:left w:val="none" w:sz="0" w:space="0" w:color="auto"/>
        <w:bottom w:val="none" w:sz="0" w:space="0" w:color="auto"/>
        <w:right w:val="none" w:sz="0" w:space="0" w:color="auto"/>
      </w:divBdr>
      <w:divsChild>
        <w:div w:id="7678890">
          <w:marLeft w:val="0"/>
          <w:marRight w:val="0"/>
          <w:marTop w:val="0"/>
          <w:marBottom w:val="0"/>
          <w:divBdr>
            <w:top w:val="none" w:sz="0" w:space="0" w:color="auto"/>
            <w:left w:val="none" w:sz="0" w:space="0" w:color="auto"/>
            <w:bottom w:val="none" w:sz="0" w:space="0" w:color="auto"/>
            <w:right w:val="none" w:sz="0" w:space="0" w:color="auto"/>
          </w:divBdr>
          <w:divsChild>
            <w:div w:id="339739031">
              <w:marLeft w:val="0"/>
              <w:marRight w:val="0"/>
              <w:marTop w:val="0"/>
              <w:marBottom w:val="0"/>
              <w:divBdr>
                <w:top w:val="none" w:sz="0" w:space="0" w:color="auto"/>
                <w:left w:val="none" w:sz="0" w:space="0" w:color="auto"/>
                <w:bottom w:val="none" w:sz="0" w:space="0" w:color="auto"/>
                <w:right w:val="none" w:sz="0" w:space="0" w:color="auto"/>
              </w:divBdr>
              <w:divsChild>
                <w:div w:id="19138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897606">
      <w:bodyDiv w:val="1"/>
      <w:marLeft w:val="0"/>
      <w:marRight w:val="0"/>
      <w:marTop w:val="0"/>
      <w:marBottom w:val="0"/>
      <w:divBdr>
        <w:top w:val="none" w:sz="0" w:space="0" w:color="auto"/>
        <w:left w:val="none" w:sz="0" w:space="0" w:color="auto"/>
        <w:bottom w:val="none" w:sz="0" w:space="0" w:color="auto"/>
        <w:right w:val="none" w:sz="0" w:space="0" w:color="auto"/>
      </w:divBdr>
    </w:div>
    <w:div w:id="939220925">
      <w:bodyDiv w:val="1"/>
      <w:marLeft w:val="0"/>
      <w:marRight w:val="0"/>
      <w:marTop w:val="0"/>
      <w:marBottom w:val="0"/>
      <w:divBdr>
        <w:top w:val="none" w:sz="0" w:space="0" w:color="auto"/>
        <w:left w:val="none" w:sz="0" w:space="0" w:color="auto"/>
        <w:bottom w:val="none" w:sz="0" w:space="0" w:color="auto"/>
        <w:right w:val="none" w:sz="0" w:space="0" w:color="auto"/>
      </w:divBdr>
      <w:divsChild>
        <w:div w:id="1495337803">
          <w:marLeft w:val="0"/>
          <w:marRight w:val="0"/>
          <w:marTop w:val="0"/>
          <w:marBottom w:val="0"/>
          <w:divBdr>
            <w:top w:val="none" w:sz="0" w:space="0" w:color="auto"/>
            <w:left w:val="none" w:sz="0" w:space="0" w:color="auto"/>
            <w:bottom w:val="none" w:sz="0" w:space="0" w:color="auto"/>
            <w:right w:val="none" w:sz="0" w:space="0" w:color="auto"/>
          </w:divBdr>
          <w:divsChild>
            <w:div w:id="1698384653">
              <w:marLeft w:val="0"/>
              <w:marRight w:val="0"/>
              <w:marTop w:val="0"/>
              <w:marBottom w:val="0"/>
              <w:divBdr>
                <w:top w:val="none" w:sz="0" w:space="0" w:color="auto"/>
                <w:left w:val="none" w:sz="0" w:space="0" w:color="auto"/>
                <w:bottom w:val="none" w:sz="0" w:space="0" w:color="auto"/>
                <w:right w:val="none" w:sz="0" w:space="0" w:color="auto"/>
              </w:divBdr>
              <w:divsChild>
                <w:div w:id="9775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311">
      <w:bodyDiv w:val="1"/>
      <w:marLeft w:val="0"/>
      <w:marRight w:val="0"/>
      <w:marTop w:val="0"/>
      <w:marBottom w:val="0"/>
      <w:divBdr>
        <w:top w:val="none" w:sz="0" w:space="0" w:color="auto"/>
        <w:left w:val="none" w:sz="0" w:space="0" w:color="auto"/>
        <w:bottom w:val="none" w:sz="0" w:space="0" w:color="auto"/>
        <w:right w:val="none" w:sz="0" w:space="0" w:color="auto"/>
      </w:divBdr>
    </w:div>
    <w:div w:id="1044599496">
      <w:bodyDiv w:val="1"/>
      <w:marLeft w:val="0"/>
      <w:marRight w:val="0"/>
      <w:marTop w:val="0"/>
      <w:marBottom w:val="0"/>
      <w:divBdr>
        <w:top w:val="none" w:sz="0" w:space="0" w:color="auto"/>
        <w:left w:val="none" w:sz="0" w:space="0" w:color="auto"/>
        <w:bottom w:val="none" w:sz="0" w:space="0" w:color="auto"/>
        <w:right w:val="none" w:sz="0" w:space="0" w:color="auto"/>
      </w:divBdr>
    </w:div>
    <w:div w:id="1094394779">
      <w:bodyDiv w:val="1"/>
      <w:marLeft w:val="0"/>
      <w:marRight w:val="0"/>
      <w:marTop w:val="0"/>
      <w:marBottom w:val="0"/>
      <w:divBdr>
        <w:top w:val="none" w:sz="0" w:space="0" w:color="auto"/>
        <w:left w:val="none" w:sz="0" w:space="0" w:color="auto"/>
        <w:bottom w:val="none" w:sz="0" w:space="0" w:color="auto"/>
        <w:right w:val="none" w:sz="0" w:space="0" w:color="auto"/>
      </w:divBdr>
    </w:div>
    <w:div w:id="1127627235">
      <w:bodyDiv w:val="1"/>
      <w:marLeft w:val="0"/>
      <w:marRight w:val="0"/>
      <w:marTop w:val="0"/>
      <w:marBottom w:val="0"/>
      <w:divBdr>
        <w:top w:val="none" w:sz="0" w:space="0" w:color="auto"/>
        <w:left w:val="none" w:sz="0" w:space="0" w:color="auto"/>
        <w:bottom w:val="none" w:sz="0" w:space="0" w:color="auto"/>
        <w:right w:val="none" w:sz="0" w:space="0" w:color="auto"/>
      </w:divBdr>
    </w:div>
    <w:div w:id="1202287842">
      <w:bodyDiv w:val="1"/>
      <w:marLeft w:val="0"/>
      <w:marRight w:val="0"/>
      <w:marTop w:val="0"/>
      <w:marBottom w:val="0"/>
      <w:divBdr>
        <w:top w:val="none" w:sz="0" w:space="0" w:color="auto"/>
        <w:left w:val="none" w:sz="0" w:space="0" w:color="auto"/>
        <w:bottom w:val="none" w:sz="0" w:space="0" w:color="auto"/>
        <w:right w:val="none" w:sz="0" w:space="0" w:color="auto"/>
      </w:divBdr>
      <w:divsChild>
        <w:div w:id="630860808">
          <w:marLeft w:val="0"/>
          <w:marRight w:val="0"/>
          <w:marTop w:val="0"/>
          <w:marBottom w:val="0"/>
          <w:divBdr>
            <w:top w:val="none" w:sz="0" w:space="0" w:color="auto"/>
            <w:left w:val="none" w:sz="0" w:space="0" w:color="auto"/>
            <w:bottom w:val="none" w:sz="0" w:space="0" w:color="auto"/>
            <w:right w:val="none" w:sz="0" w:space="0" w:color="auto"/>
          </w:divBdr>
          <w:divsChild>
            <w:div w:id="758909780">
              <w:marLeft w:val="0"/>
              <w:marRight w:val="0"/>
              <w:marTop w:val="0"/>
              <w:marBottom w:val="0"/>
              <w:divBdr>
                <w:top w:val="none" w:sz="0" w:space="0" w:color="auto"/>
                <w:left w:val="none" w:sz="0" w:space="0" w:color="auto"/>
                <w:bottom w:val="none" w:sz="0" w:space="0" w:color="auto"/>
                <w:right w:val="none" w:sz="0" w:space="0" w:color="auto"/>
              </w:divBdr>
              <w:divsChild>
                <w:div w:id="9625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311">
      <w:bodyDiv w:val="1"/>
      <w:marLeft w:val="0"/>
      <w:marRight w:val="0"/>
      <w:marTop w:val="0"/>
      <w:marBottom w:val="0"/>
      <w:divBdr>
        <w:top w:val="none" w:sz="0" w:space="0" w:color="auto"/>
        <w:left w:val="none" w:sz="0" w:space="0" w:color="auto"/>
        <w:bottom w:val="none" w:sz="0" w:space="0" w:color="auto"/>
        <w:right w:val="none" w:sz="0" w:space="0" w:color="auto"/>
      </w:divBdr>
    </w:div>
    <w:div w:id="1343241254">
      <w:bodyDiv w:val="1"/>
      <w:marLeft w:val="0"/>
      <w:marRight w:val="0"/>
      <w:marTop w:val="0"/>
      <w:marBottom w:val="0"/>
      <w:divBdr>
        <w:top w:val="none" w:sz="0" w:space="0" w:color="auto"/>
        <w:left w:val="none" w:sz="0" w:space="0" w:color="auto"/>
        <w:bottom w:val="none" w:sz="0" w:space="0" w:color="auto"/>
        <w:right w:val="none" w:sz="0" w:space="0" w:color="auto"/>
      </w:divBdr>
    </w:div>
    <w:div w:id="1352147576">
      <w:bodyDiv w:val="1"/>
      <w:marLeft w:val="0"/>
      <w:marRight w:val="0"/>
      <w:marTop w:val="0"/>
      <w:marBottom w:val="0"/>
      <w:divBdr>
        <w:top w:val="none" w:sz="0" w:space="0" w:color="auto"/>
        <w:left w:val="none" w:sz="0" w:space="0" w:color="auto"/>
        <w:bottom w:val="none" w:sz="0" w:space="0" w:color="auto"/>
        <w:right w:val="none" w:sz="0" w:space="0" w:color="auto"/>
      </w:divBdr>
      <w:divsChild>
        <w:div w:id="534655862">
          <w:marLeft w:val="0"/>
          <w:marRight w:val="0"/>
          <w:marTop w:val="0"/>
          <w:marBottom w:val="0"/>
          <w:divBdr>
            <w:top w:val="none" w:sz="0" w:space="0" w:color="auto"/>
            <w:left w:val="none" w:sz="0" w:space="0" w:color="auto"/>
            <w:bottom w:val="none" w:sz="0" w:space="0" w:color="auto"/>
            <w:right w:val="none" w:sz="0" w:space="0" w:color="auto"/>
          </w:divBdr>
          <w:divsChild>
            <w:div w:id="1609970512">
              <w:marLeft w:val="0"/>
              <w:marRight w:val="0"/>
              <w:marTop w:val="0"/>
              <w:marBottom w:val="0"/>
              <w:divBdr>
                <w:top w:val="none" w:sz="0" w:space="0" w:color="auto"/>
                <w:left w:val="none" w:sz="0" w:space="0" w:color="auto"/>
                <w:bottom w:val="none" w:sz="0" w:space="0" w:color="auto"/>
                <w:right w:val="none" w:sz="0" w:space="0" w:color="auto"/>
              </w:divBdr>
              <w:divsChild>
                <w:div w:id="2006276295">
                  <w:marLeft w:val="0"/>
                  <w:marRight w:val="0"/>
                  <w:marTop w:val="0"/>
                  <w:marBottom w:val="0"/>
                  <w:divBdr>
                    <w:top w:val="none" w:sz="0" w:space="0" w:color="auto"/>
                    <w:left w:val="none" w:sz="0" w:space="0" w:color="auto"/>
                    <w:bottom w:val="none" w:sz="0" w:space="0" w:color="auto"/>
                    <w:right w:val="none" w:sz="0" w:space="0" w:color="auto"/>
                  </w:divBdr>
                  <w:divsChild>
                    <w:div w:id="761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97477">
      <w:bodyDiv w:val="1"/>
      <w:marLeft w:val="0"/>
      <w:marRight w:val="0"/>
      <w:marTop w:val="0"/>
      <w:marBottom w:val="0"/>
      <w:divBdr>
        <w:top w:val="none" w:sz="0" w:space="0" w:color="auto"/>
        <w:left w:val="none" w:sz="0" w:space="0" w:color="auto"/>
        <w:bottom w:val="none" w:sz="0" w:space="0" w:color="auto"/>
        <w:right w:val="none" w:sz="0" w:space="0" w:color="auto"/>
      </w:divBdr>
      <w:divsChild>
        <w:div w:id="390542268">
          <w:marLeft w:val="0"/>
          <w:marRight w:val="0"/>
          <w:marTop w:val="0"/>
          <w:marBottom w:val="0"/>
          <w:divBdr>
            <w:top w:val="none" w:sz="0" w:space="0" w:color="auto"/>
            <w:left w:val="none" w:sz="0" w:space="0" w:color="auto"/>
            <w:bottom w:val="none" w:sz="0" w:space="0" w:color="auto"/>
            <w:right w:val="none" w:sz="0" w:space="0" w:color="auto"/>
          </w:divBdr>
          <w:divsChild>
            <w:div w:id="1683362134">
              <w:marLeft w:val="0"/>
              <w:marRight w:val="0"/>
              <w:marTop w:val="0"/>
              <w:marBottom w:val="0"/>
              <w:divBdr>
                <w:top w:val="none" w:sz="0" w:space="0" w:color="auto"/>
                <w:left w:val="none" w:sz="0" w:space="0" w:color="auto"/>
                <w:bottom w:val="none" w:sz="0" w:space="0" w:color="auto"/>
                <w:right w:val="none" w:sz="0" w:space="0" w:color="auto"/>
              </w:divBdr>
              <w:divsChild>
                <w:div w:id="6187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3275">
      <w:bodyDiv w:val="1"/>
      <w:marLeft w:val="0"/>
      <w:marRight w:val="0"/>
      <w:marTop w:val="0"/>
      <w:marBottom w:val="0"/>
      <w:divBdr>
        <w:top w:val="none" w:sz="0" w:space="0" w:color="auto"/>
        <w:left w:val="none" w:sz="0" w:space="0" w:color="auto"/>
        <w:bottom w:val="none" w:sz="0" w:space="0" w:color="auto"/>
        <w:right w:val="none" w:sz="0" w:space="0" w:color="auto"/>
      </w:divBdr>
      <w:divsChild>
        <w:div w:id="124354194">
          <w:marLeft w:val="0"/>
          <w:marRight w:val="0"/>
          <w:marTop w:val="0"/>
          <w:marBottom w:val="0"/>
          <w:divBdr>
            <w:top w:val="none" w:sz="0" w:space="0" w:color="auto"/>
            <w:left w:val="none" w:sz="0" w:space="0" w:color="auto"/>
            <w:bottom w:val="none" w:sz="0" w:space="0" w:color="auto"/>
            <w:right w:val="none" w:sz="0" w:space="0" w:color="auto"/>
          </w:divBdr>
          <w:divsChild>
            <w:div w:id="571698968">
              <w:marLeft w:val="0"/>
              <w:marRight w:val="0"/>
              <w:marTop w:val="0"/>
              <w:marBottom w:val="0"/>
              <w:divBdr>
                <w:top w:val="none" w:sz="0" w:space="0" w:color="auto"/>
                <w:left w:val="none" w:sz="0" w:space="0" w:color="auto"/>
                <w:bottom w:val="none" w:sz="0" w:space="0" w:color="auto"/>
                <w:right w:val="none" w:sz="0" w:space="0" w:color="auto"/>
              </w:divBdr>
              <w:divsChild>
                <w:div w:id="1010794212">
                  <w:marLeft w:val="0"/>
                  <w:marRight w:val="0"/>
                  <w:marTop w:val="0"/>
                  <w:marBottom w:val="0"/>
                  <w:divBdr>
                    <w:top w:val="none" w:sz="0" w:space="0" w:color="auto"/>
                    <w:left w:val="none" w:sz="0" w:space="0" w:color="auto"/>
                    <w:bottom w:val="none" w:sz="0" w:space="0" w:color="auto"/>
                    <w:right w:val="none" w:sz="0" w:space="0" w:color="auto"/>
                  </w:divBdr>
                  <w:divsChild>
                    <w:div w:id="4647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5508">
      <w:bodyDiv w:val="1"/>
      <w:marLeft w:val="0"/>
      <w:marRight w:val="0"/>
      <w:marTop w:val="0"/>
      <w:marBottom w:val="0"/>
      <w:divBdr>
        <w:top w:val="none" w:sz="0" w:space="0" w:color="auto"/>
        <w:left w:val="none" w:sz="0" w:space="0" w:color="auto"/>
        <w:bottom w:val="none" w:sz="0" w:space="0" w:color="auto"/>
        <w:right w:val="none" w:sz="0" w:space="0" w:color="auto"/>
      </w:divBdr>
      <w:divsChild>
        <w:div w:id="239365360">
          <w:marLeft w:val="0"/>
          <w:marRight w:val="0"/>
          <w:marTop w:val="0"/>
          <w:marBottom w:val="0"/>
          <w:divBdr>
            <w:top w:val="none" w:sz="0" w:space="0" w:color="auto"/>
            <w:left w:val="none" w:sz="0" w:space="0" w:color="auto"/>
            <w:bottom w:val="none" w:sz="0" w:space="0" w:color="auto"/>
            <w:right w:val="none" w:sz="0" w:space="0" w:color="auto"/>
          </w:divBdr>
          <w:divsChild>
            <w:div w:id="177083954">
              <w:marLeft w:val="0"/>
              <w:marRight w:val="0"/>
              <w:marTop w:val="0"/>
              <w:marBottom w:val="0"/>
              <w:divBdr>
                <w:top w:val="none" w:sz="0" w:space="0" w:color="auto"/>
                <w:left w:val="none" w:sz="0" w:space="0" w:color="auto"/>
                <w:bottom w:val="none" w:sz="0" w:space="0" w:color="auto"/>
                <w:right w:val="none" w:sz="0" w:space="0" w:color="auto"/>
              </w:divBdr>
              <w:divsChild>
                <w:div w:id="19017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9843">
      <w:bodyDiv w:val="1"/>
      <w:marLeft w:val="0"/>
      <w:marRight w:val="0"/>
      <w:marTop w:val="0"/>
      <w:marBottom w:val="0"/>
      <w:divBdr>
        <w:top w:val="none" w:sz="0" w:space="0" w:color="auto"/>
        <w:left w:val="none" w:sz="0" w:space="0" w:color="auto"/>
        <w:bottom w:val="none" w:sz="0" w:space="0" w:color="auto"/>
        <w:right w:val="none" w:sz="0" w:space="0" w:color="auto"/>
      </w:divBdr>
    </w:div>
    <w:div w:id="1410733159">
      <w:bodyDiv w:val="1"/>
      <w:marLeft w:val="0"/>
      <w:marRight w:val="0"/>
      <w:marTop w:val="0"/>
      <w:marBottom w:val="0"/>
      <w:divBdr>
        <w:top w:val="none" w:sz="0" w:space="0" w:color="auto"/>
        <w:left w:val="none" w:sz="0" w:space="0" w:color="auto"/>
        <w:bottom w:val="none" w:sz="0" w:space="0" w:color="auto"/>
        <w:right w:val="none" w:sz="0" w:space="0" w:color="auto"/>
      </w:divBdr>
      <w:divsChild>
        <w:div w:id="1034496671">
          <w:marLeft w:val="0"/>
          <w:marRight w:val="0"/>
          <w:marTop w:val="0"/>
          <w:marBottom w:val="0"/>
          <w:divBdr>
            <w:top w:val="none" w:sz="0" w:space="0" w:color="auto"/>
            <w:left w:val="none" w:sz="0" w:space="0" w:color="auto"/>
            <w:bottom w:val="none" w:sz="0" w:space="0" w:color="auto"/>
            <w:right w:val="none" w:sz="0" w:space="0" w:color="auto"/>
          </w:divBdr>
        </w:div>
        <w:div w:id="793402800">
          <w:marLeft w:val="0"/>
          <w:marRight w:val="0"/>
          <w:marTop w:val="0"/>
          <w:marBottom w:val="0"/>
          <w:divBdr>
            <w:top w:val="none" w:sz="0" w:space="0" w:color="auto"/>
            <w:left w:val="none" w:sz="0" w:space="0" w:color="auto"/>
            <w:bottom w:val="none" w:sz="0" w:space="0" w:color="auto"/>
            <w:right w:val="none" w:sz="0" w:space="0" w:color="auto"/>
          </w:divBdr>
        </w:div>
        <w:div w:id="1550728390">
          <w:marLeft w:val="0"/>
          <w:marRight w:val="0"/>
          <w:marTop w:val="0"/>
          <w:marBottom w:val="0"/>
          <w:divBdr>
            <w:top w:val="none" w:sz="0" w:space="0" w:color="auto"/>
            <w:left w:val="none" w:sz="0" w:space="0" w:color="auto"/>
            <w:bottom w:val="none" w:sz="0" w:space="0" w:color="auto"/>
            <w:right w:val="none" w:sz="0" w:space="0" w:color="auto"/>
          </w:divBdr>
        </w:div>
        <w:div w:id="454519059">
          <w:marLeft w:val="0"/>
          <w:marRight w:val="0"/>
          <w:marTop w:val="0"/>
          <w:marBottom w:val="0"/>
          <w:divBdr>
            <w:top w:val="none" w:sz="0" w:space="0" w:color="auto"/>
            <w:left w:val="none" w:sz="0" w:space="0" w:color="auto"/>
            <w:bottom w:val="none" w:sz="0" w:space="0" w:color="auto"/>
            <w:right w:val="none" w:sz="0" w:space="0" w:color="auto"/>
          </w:divBdr>
        </w:div>
        <w:div w:id="661006691">
          <w:marLeft w:val="0"/>
          <w:marRight w:val="0"/>
          <w:marTop w:val="0"/>
          <w:marBottom w:val="0"/>
          <w:divBdr>
            <w:top w:val="none" w:sz="0" w:space="0" w:color="auto"/>
            <w:left w:val="none" w:sz="0" w:space="0" w:color="auto"/>
            <w:bottom w:val="none" w:sz="0" w:space="0" w:color="auto"/>
            <w:right w:val="none" w:sz="0" w:space="0" w:color="auto"/>
          </w:divBdr>
        </w:div>
      </w:divsChild>
    </w:div>
    <w:div w:id="1428691340">
      <w:bodyDiv w:val="1"/>
      <w:marLeft w:val="0"/>
      <w:marRight w:val="0"/>
      <w:marTop w:val="0"/>
      <w:marBottom w:val="0"/>
      <w:divBdr>
        <w:top w:val="none" w:sz="0" w:space="0" w:color="auto"/>
        <w:left w:val="none" w:sz="0" w:space="0" w:color="auto"/>
        <w:bottom w:val="none" w:sz="0" w:space="0" w:color="auto"/>
        <w:right w:val="none" w:sz="0" w:space="0" w:color="auto"/>
      </w:divBdr>
      <w:divsChild>
        <w:div w:id="636028262">
          <w:marLeft w:val="0"/>
          <w:marRight w:val="0"/>
          <w:marTop w:val="0"/>
          <w:marBottom w:val="0"/>
          <w:divBdr>
            <w:top w:val="none" w:sz="0" w:space="0" w:color="auto"/>
            <w:left w:val="none" w:sz="0" w:space="0" w:color="auto"/>
            <w:bottom w:val="none" w:sz="0" w:space="0" w:color="auto"/>
            <w:right w:val="none" w:sz="0" w:space="0" w:color="auto"/>
          </w:divBdr>
        </w:div>
        <w:div w:id="840237515">
          <w:marLeft w:val="0"/>
          <w:marRight w:val="0"/>
          <w:marTop w:val="0"/>
          <w:marBottom w:val="0"/>
          <w:divBdr>
            <w:top w:val="none" w:sz="0" w:space="0" w:color="auto"/>
            <w:left w:val="none" w:sz="0" w:space="0" w:color="auto"/>
            <w:bottom w:val="none" w:sz="0" w:space="0" w:color="auto"/>
            <w:right w:val="none" w:sz="0" w:space="0" w:color="auto"/>
          </w:divBdr>
        </w:div>
      </w:divsChild>
    </w:div>
    <w:div w:id="1462847686">
      <w:bodyDiv w:val="1"/>
      <w:marLeft w:val="0"/>
      <w:marRight w:val="0"/>
      <w:marTop w:val="0"/>
      <w:marBottom w:val="0"/>
      <w:divBdr>
        <w:top w:val="none" w:sz="0" w:space="0" w:color="auto"/>
        <w:left w:val="none" w:sz="0" w:space="0" w:color="auto"/>
        <w:bottom w:val="none" w:sz="0" w:space="0" w:color="auto"/>
        <w:right w:val="none" w:sz="0" w:space="0" w:color="auto"/>
      </w:divBdr>
      <w:divsChild>
        <w:div w:id="1261523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412007">
              <w:marLeft w:val="0"/>
              <w:marRight w:val="0"/>
              <w:marTop w:val="0"/>
              <w:marBottom w:val="0"/>
              <w:divBdr>
                <w:top w:val="none" w:sz="0" w:space="0" w:color="auto"/>
                <w:left w:val="none" w:sz="0" w:space="0" w:color="auto"/>
                <w:bottom w:val="none" w:sz="0" w:space="0" w:color="auto"/>
                <w:right w:val="none" w:sz="0" w:space="0" w:color="auto"/>
              </w:divBdr>
              <w:divsChild>
                <w:div w:id="6212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702">
      <w:bodyDiv w:val="1"/>
      <w:marLeft w:val="0"/>
      <w:marRight w:val="0"/>
      <w:marTop w:val="0"/>
      <w:marBottom w:val="0"/>
      <w:divBdr>
        <w:top w:val="none" w:sz="0" w:space="0" w:color="auto"/>
        <w:left w:val="none" w:sz="0" w:space="0" w:color="auto"/>
        <w:bottom w:val="none" w:sz="0" w:space="0" w:color="auto"/>
        <w:right w:val="none" w:sz="0" w:space="0" w:color="auto"/>
      </w:divBdr>
      <w:divsChild>
        <w:div w:id="663439743">
          <w:marLeft w:val="0"/>
          <w:marRight w:val="0"/>
          <w:marTop w:val="0"/>
          <w:marBottom w:val="0"/>
          <w:divBdr>
            <w:top w:val="none" w:sz="0" w:space="0" w:color="auto"/>
            <w:left w:val="none" w:sz="0" w:space="0" w:color="auto"/>
            <w:bottom w:val="none" w:sz="0" w:space="0" w:color="auto"/>
            <w:right w:val="none" w:sz="0" w:space="0" w:color="auto"/>
          </w:divBdr>
        </w:div>
        <w:div w:id="708653675">
          <w:marLeft w:val="0"/>
          <w:marRight w:val="0"/>
          <w:marTop w:val="0"/>
          <w:marBottom w:val="0"/>
          <w:divBdr>
            <w:top w:val="none" w:sz="0" w:space="0" w:color="auto"/>
            <w:left w:val="none" w:sz="0" w:space="0" w:color="auto"/>
            <w:bottom w:val="none" w:sz="0" w:space="0" w:color="auto"/>
            <w:right w:val="none" w:sz="0" w:space="0" w:color="auto"/>
          </w:divBdr>
        </w:div>
        <w:div w:id="1549562134">
          <w:marLeft w:val="0"/>
          <w:marRight w:val="0"/>
          <w:marTop w:val="0"/>
          <w:marBottom w:val="0"/>
          <w:divBdr>
            <w:top w:val="none" w:sz="0" w:space="0" w:color="auto"/>
            <w:left w:val="none" w:sz="0" w:space="0" w:color="auto"/>
            <w:bottom w:val="none" w:sz="0" w:space="0" w:color="auto"/>
            <w:right w:val="none" w:sz="0" w:space="0" w:color="auto"/>
          </w:divBdr>
        </w:div>
        <w:div w:id="276765047">
          <w:marLeft w:val="0"/>
          <w:marRight w:val="0"/>
          <w:marTop w:val="0"/>
          <w:marBottom w:val="0"/>
          <w:divBdr>
            <w:top w:val="none" w:sz="0" w:space="0" w:color="auto"/>
            <w:left w:val="none" w:sz="0" w:space="0" w:color="auto"/>
            <w:bottom w:val="none" w:sz="0" w:space="0" w:color="auto"/>
            <w:right w:val="none" w:sz="0" w:space="0" w:color="auto"/>
          </w:divBdr>
        </w:div>
        <w:div w:id="1828354832">
          <w:marLeft w:val="0"/>
          <w:marRight w:val="0"/>
          <w:marTop w:val="0"/>
          <w:marBottom w:val="0"/>
          <w:divBdr>
            <w:top w:val="none" w:sz="0" w:space="0" w:color="auto"/>
            <w:left w:val="none" w:sz="0" w:space="0" w:color="auto"/>
            <w:bottom w:val="none" w:sz="0" w:space="0" w:color="auto"/>
            <w:right w:val="none" w:sz="0" w:space="0" w:color="auto"/>
          </w:divBdr>
        </w:div>
        <w:div w:id="1348367719">
          <w:marLeft w:val="0"/>
          <w:marRight w:val="0"/>
          <w:marTop w:val="0"/>
          <w:marBottom w:val="0"/>
          <w:divBdr>
            <w:top w:val="none" w:sz="0" w:space="0" w:color="auto"/>
            <w:left w:val="none" w:sz="0" w:space="0" w:color="auto"/>
            <w:bottom w:val="none" w:sz="0" w:space="0" w:color="auto"/>
            <w:right w:val="none" w:sz="0" w:space="0" w:color="auto"/>
          </w:divBdr>
        </w:div>
        <w:div w:id="197205772">
          <w:marLeft w:val="0"/>
          <w:marRight w:val="0"/>
          <w:marTop w:val="0"/>
          <w:marBottom w:val="0"/>
          <w:divBdr>
            <w:top w:val="none" w:sz="0" w:space="0" w:color="auto"/>
            <w:left w:val="none" w:sz="0" w:space="0" w:color="auto"/>
            <w:bottom w:val="none" w:sz="0" w:space="0" w:color="auto"/>
            <w:right w:val="none" w:sz="0" w:space="0" w:color="auto"/>
          </w:divBdr>
        </w:div>
        <w:div w:id="306521766">
          <w:marLeft w:val="0"/>
          <w:marRight w:val="0"/>
          <w:marTop w:val="0"/>
          <w:marBottom w:val="0"/>
          <w:divBdr>
            <w:top w:val="none" w:sz="0" w:space="0" w:color="auto"/>
            <w:left w:val="none" w:sz="0" w:space="0" w:color="auto"/>
            <w:bottom w:val="none" w:sz="0" w:space="0" w:color="auto"/>
            <w:right w:val="none" w:sz="0" w:space="0" w:color="auto"/>
          </w:divBdr>
        </w:div>
        <w:div w:id="1214848172">
          <w:marLeft w:val="0"/>
          <w:marRight w:val="0"/>
          <w:marTop w:val="0"/>
          <w:marBottom w:val="0"/>
          <w:divBdr>
            <w:top w:val="none" w:sz="0" w:space="0" w:color="auto"/>
            <w:left w:val="none" w:sz="0" w:space="0" w:color="auto"/>
            <w:bottom w:val="none" w:sz="0" w:space="0" w:color="auto"/>
            <w:right w:val="none" w:sz="0" w:space="0" w:color="auto"/>
          </w:divBdr>
        </w:div>
        <w:div w:id="1957835631">
          <w:marLeft w:val="0"/>
          <w:marRight w:val="0"/>
          <w:marTop w:val="0"/>
          <w:marBottom w:val="0"/>
          <w:divBdr>
            <w:top w:val="none" w:sz="0" w:space="0" w:color="auto"/>
            <w:left w:val="none" w:sz="0" w:space="0" w:color="auto"/>
            <w:bottom w:val="none" w:sz="0" w:space="0" w:color="auto"/>
            <w:right w:val="none" w:sz="0" w:space="0" w:color="auto"/>
          </w:divBdr>
        </w:div>
        <w:div w:id="1221331581">
          <w:marLeft w:val="0"/>
          <w:marRight w:val="0"/>
          <w:marTop w:val="0"/>
          <w:marBottom w:val="0"/>
          <w:divBdr>
            <w:top w:val="none" w:sz="0" w:space="0" w:color="auto"/>
            <w:left w:val="none" w:sz="0" w:space="0" w:color="auto"/>
            <w:bottom w:val="none" w:sz="0" w:space="0" w:color="auto"/>
            <w:right w:val="none" w:sz="0" w:space="0" w:color="auto"/>
          </w:divBdr>
        </w:div>
      </w:divsChild>
    </w:div>
    <w:div w:id="1503006201">
      <w:bodyDiv w:val="1"/>
      <w:marLeft w:val="0"/>
      <w:marRight w:val="0"/>
      <w:marTop w:val="0"/>
      <w:marBottom w:val="0"/>
      <w:divBdr>
        <w:top w:val="none" w:sz="0" w:space="0" w:color="auto"/>
        <w:left w:val="none" w:sz="0" w:space="0" w:color="auto"/>
        <w:bottom w:val="none" w:sz="0" w:space="0" w:color="auto"/>
        <w:right w:val="none" w:sz="0" w:space="0" w:color="auto"/>
      </w:divBdr>
    </w:div>
    <w:div w:id="1543438964">
      <w:bodyDiv w:val="1"/>
      <w:marLeft w:val="0"/>
      <w:marRight w:val="0"/>
      <w:marTop w:val="0"/>
      <w:marBottom w:val="0"/>
      <w:divBdr>
        <w:top w:val="none" w:sz="0" w:space="0" w:color="auto"/>
        <w:left w:val="none" w:sz="0" w:space="0" w:color="auto"/>
        <w:bottom w:val="none" w:sz="0" w:space="0" w:color="auto"/>
        <w:right w:val="none" w:sz="0" w:space="0" w:color="auto"/>
      </w:divBdr>
      <w:divsChild>
        <w:div w:id="1041781822">
          <w:marLeft w:val="0"/>
          <w:marRight w:val="0"/>
          <w:marTop w:val="0"/>
          <w:marBottom w:val="0"/>
          <w:divBdr>
            <w:top w:val="none" w:sz="0" w:space="0" w:color="auto"/>
            <w:left w:val="none" w:sz="0" w:space="0" w:color="auto"/>
            <w:bottom w:val="none" w:sz="0" w:space="0" w:color="auto"/>
            <w:right w:val="none" w:sz="0" w:space="0" w:color="auto"/>
          </w:divBdr>
        </w:div>
        <w:div w:id="1595243975">
          <w:marLeft w:val="0"/>
          <w:marRight w:val="0"/>
          <w:marTop w:val="0"/>
          <w:marBottom w:val="0"/>
          <w:divBdr>
            <w:top w:val="none" w:sz="0" w:space="0" w:color="auto"/>
            <w:left w:val="none" w:sz="0" w:space="0" w:color="auto"/>
            <w:bottom w:val="none" w:sz="0" w:space="0" w:color="auto"/>
            <w:right w:val="none" w:sz="0" w:space="0" w:color="auto"/>
          </w:divBdr>
        </w:div>
      </w:divsChild>
    </w:div>
    <w:div w:id="1561329839">
      <w:bodyDiv w:val="1"/>
      <w:marLeft w:val="0"/>
      <w:marRight w:val="0"/>
      <w:marTop w:val="0"/>
      <w:marBottom w:val="0"/>
      <w:divBdr>
        <w:top w:val="none" w:sz="0" w:space="0" w:color="auto"/>
        <w:left w:val="none" w:sz="0" w:space="0" w:color="auto"/>
        <w:bottom w:val="none" w:sz="0" w:space="0" w:color="auto"/>
        <w:right w:val="none" w:sz="0" w:space="0" w:color="auto"/>
      </w:divBdr>
    </w:div>
    <w:div w:id="1574924103">
      <w:bodyDiv w:val="1"/>
      <w:marLeft w:val="0"/>
      <w:marRight w:val="0"/>
      <w:marTop w:val="0"/>
      <w:marBottom w:val="0"/>
      <w:divBdr>
        <w:top w:val="none" w:sz="0" w:space="0" w:color="auto"/>
        <w:left w:val="none" w:sz="0" w:space="0" w:color="auto"/>
        <w:bottom w:val="none" w:sz="0" w:space="0" w:color="auto"/>
        <w:right w:val="none" w:sz="0" w:space="0" w:color="auto"/>
      </w:divBdr>
      <w:divsChild>
        <w:div w:id="1374844201">
          <w:marLeft w:val="0"/>
          <w:marRight w:val="0"/>
          <w:marTop w:val="0"/>
          <w:marBottom w:val="0"/>
          <w:divBdr>
            <w:top w:val="none" w:sz="0" w:space="0" w:color="auto"/>
            <w:left w:val="none" w:sz="0" w:space="0" w:color="auto"/>
            <w:bottom w:val="none" w:sz="0" w:space="0" w:color="auto"/>
            <w:right w:val="none" w:sz="0" w:space="0" w:color="auto"/>
          </w:divBdr>
          <w:divsChild>
            <w:div w:id="1489323719">
              <w:marLeft w:val="0"/>
              <w:marRight w:val="0"/>
              <w:marTop w:val="0"/>
              <w:marBottom w:val="0"/>
              <w:divBdr>
                <w:top w:val="none" w:sz="0" w:space="0" w:color="auto"/>
                <w:left w:val="none" w:sz="0" w:space="0" w:color="auto"/>
                <w:bottom w:val="none" w:sz="0" w:space="0" w:color="auto"/>
                <w:right w:val="none" w:sz="0" w:space="0" w:color="auto"/>
              </w:divBdr>
              <w:divsChild>
                <w:div w:id="8471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2188">
      <w:bodyDiv w:val="1"/>
      <w:marLeft w:val="0"/>
      <w:marRight w:val="0"/>
      <w:marTop w:val="0"/>
      <w:marBottom w:val="0"/>
      <w:divBdr>
        <w:top w:val="none" w:sz="0" w:space="0" w:color="auto"/>
        <w:left w:val="none" w:sz="0" w:space="0" w:color="auto"/>
        <w:bottom w:val="none" w:sz="0" w:space="0" w:color="auto"/>
        <w:right w:val="none" w:sz="0" w:space="0" w:color="auto"/>
      </w:divBdr>
    </w:div>
    <w:div w:id="1602226317">
      <w:bodyDiv w:val="1"/>
      <w:marLeft w:val="0"/>
      <w:marRight w:val="0"/>
      <w:marTop w:val="0"/>
      <w:marBottom w:val="0"/>
      <w:divBdr>
        <w:top w:val="none" w:sz="0" w:space="0" w:color="auto"/>
        <w:left w:val="none" w:sz="0" w:space="0" w:color="auto"/>
        <w:bottom w:val="none" w:sz="0" w:space="0" w:color="auto"/>
        <w:right w:val="none" w:sz="0" w:space="0" w:color="auto"/>
      </w:divBdr>
    </w:div>
    <w:div w:id="1616255083">
      <w:bodyDiv w:val="1"/>
      <w:marLeft w:val="0"/>
      <w:marRight w:val="0"/>
      <w:marTop w:val="0"/>
      <w:marBottom w:val="0"/>
      <w:divBdr>
        <w:top w:val="none" w:sz="0" w:space="0" w:color="auto"/>
        <w:left w:val="none" w:sz="0" w:space="0" w:color="auto"/>
        <w:bottom w:val="none" w:sz="0" w:space="0" w:color="auto"/>
        <w:right w:val="none" w:sz="0" w:space="0" w:color="auto"/>
      </w:divBdr>
      <w:divsChild>
        <w:div w:id="1209100508">
          <w:marLeft w:val="0"/>
          <w:marRight w:val="0"/>
          <w:marTop w:val="0"/>
          <w:marBottom w:val="0"/>
          <w:divBdr>
            <w:top w:val="none" w:sz="0" w:space="0" w:color="auto"/>
            <w:left w:val="none" w:sz="0" w:space="0" w:color="auto"/>
            <w:bottom w:val="none" w:sz="0" w:space="0" w:color="auto"/>
            <w:right w:val="none" w:sz="0" w:space="0" w:color="auto"/>
          </w:divBdr>
          <w:divsChild>
            <w:div w:id="848839059">
              <w:marLeft w:val="0"/>
              <w:marRight w:val="0"/>
              <w:marTop w:val="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3900">
      <w:bodyDiv w:val="1"/>
      <w:marLeft w:val="0"/>
      <w:marRight w:val="0"/>
      <w:marTop w:val="0"/>
      <w:marBottom w:val="0"/>
      <w:divBdr>
        <w:top w:val="none" w:sz="0" w:space="0" w:color="auto"/>
        <w:left w:val="none" w:sz="0" w:space="0" w:color="auto"/>
        <w:bottom w:val="none" w:sz="0" w:space="0" w:color="auto"/>
        <w:right w:val="none" w:sz="0" w:space="0" w:color="auto"/>
      </w:divBdr>
    </w:div>
    <w:div w:id="1702633950">
      <w:bodyDiv w:val="1"/>
      <w:marLeft w:val="0"/>
      <w:marRight w:val="0"/>
      <w:marTop w:val="0"/>
      <w:marBottom w:val="0"/>
      <w:divBdr>
        <w:top w:val="none" w:sz="0" w:space="0" w:color="auto"/>
        <w:left w:val="none" w:sz="0" w:space="0" w:color="auto"/>
        <w:bottom w:val="none" w:sz="0" w:space="0" w:color="auto"/>
        <w:right w:val="none" w:sz="0" w:space="0" w:color="auto"/>
      </w:divBdr>
      <w:divsChild>
        <w:div w:id="1799296037">
          <w:marLeft w:val="0"/>
          <w:marRight w:val="0"/>
          <w:marTop w:val="0"/>
          <w:marBottom w:val="0"/>
          <w:divBdr>
            <w:top w:val="none" w:sz="0" w:space="0" w:color="auto"/>
            <w:left w:val="none" w:sz="0" w:space="0" w:color="auto"/>
            <w:bottom w:val="none" w:sz="0" w:space="0" w:color="auto"/>
            <w:right w:val="none" w:sz="0" w:space="0" w:color="auto"/>
          </w:divBdr>
          <w:divsChild>
            <w:div w:id="1693993638">
              <w:marLeft w:val="0"/>
              <w:marRight w:val="0"/>
              <w:marTop w:val="0"/>
              <w:marBottom w:val="0"/>
              <w:divBdr>
                <w:top w:val="none" w:sz="0" w:space="0" w:color="auto"/>
                <w:left w:val="none" w:sz="0" w:space="0" w:color="auto"/>
                <w:bottom w:val="none" w:sz="0" w:space="0" w:color="auto"/>
                <w:right w:val="none" w:sz="0" w:space="0" w:color="auto"/>
              </w:divBdr>
              <w:divsChild>
                <w:div w:id="16697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3053">
      <w:bodyDiv w:val="1"/>
      <w:marLeft w:val="0"/>
      <w:marRight w:val="0"/>
      <w:marTop w:val="0"/>
      <w:marBottom w:val="0"/>
      <w:divBdr>
        <w:top w:val="none" w:sz="0" w:space="0" w:color="auto"/>
        <w:left w:val="none" w:sz="0" w:space="0" w:color="auto"/>
        <w:bottom w:val="none" w:sz="0" w:space="0" w:color="auto"/>
        <w:right w:val="none" w:sz="0" w:space="0" w:color="auto"/>
      </w:divBdr>
      <w:divsChild>
        <w:div w:id="1717660602">
          <w:marLeft w:val="0"/>
          <w:marRight w:val="0"/>
          <w:marTop w:val="0"/>
          <w:marBottom w:val="0"/>
          <w:divBdr>
            <w:top w:val="none" w:sz="0" w:space="0" w:color="auto"/>
            <w:left w:val="none" w:sz="0" w:space="0" w:color="auto"/>
            <w:bottom w:val="none" w:sz="0" w:space="0" w:color="auto"/>
            <w:right w:val="none" w:sz="0" w:space="0" w:color="auto"/>
          </w:divBdr>
          <w:divsChild>
            <w:div w:id="2075396459">
              <w:marLeft w:val="0"/>
              <w:marRight w:val="0"/>
              <w:marTop w:val="0"/>
              <w:marBottom w:val="0"/>
              <w:divBdr>
                <w:top w:val="none" w:sz="0" w:space="0" w:color="auto"/>
                <w:left w:val="none" w:sz="0" w:space="0" w:color="auto"/>
                <w:bottom w:val="none" w:sz="0" w:space="0" w:color="auto"/>
                <w:right w:val="none" w:sz="0" w:space="0" w:color="auto"/>
              </w:divBdr>
              <w:divsChild>
                <w:div w:id="1779989009">
                  <w:marLeft w:val="0"/>
                  <w:marRight w:val="0"/>
                  <w:marTop w:val="0"/>
                  <w:marBottom w:val="0"/>
                  <w:divBdr>
                    <w:top w:val="none" w:sz="0" w:space="0" w:color="auto"/>
                    <w:left w:val="none" w:sz="0" w:space="0" w:color="auto"/>
                    <w:bottom w:val="none" w:sz="0" w:space="0" w:color="auto"/>
                    <w:right w:val="none" w:sz="0" w:space="0" w:color="auto"/>
                  </w:divBdr>
                  <w:divsChild>
                    <w:div w:id="3217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22674">
      <w:bodyDiv w:val="1"/>
      <w:marLeft w:val="0"/>
      <w:marRight w:val="0"/>
      <w:marTop w:val="0"/>
      <w:marBottom w:val="0"/>
      <w:divBdr>
        <w:top w:val="none" w:sz="0" w:space="0" w:color="auto"/>
        <w:left w:val="none" w:sz="0" w:space="0" w:color="auto"/>
        <w:bottom w:val="none" w:sz="0" w:space="0" w:color="auto"/>
        <w:right w:val="none" w:sz="0" w:space="0" w:color="auto"/>
      </w:divBdr>
    </w:div>
    <w:div w:id="1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160511166">
          <w:marLeft w:val="0"/>
          <w:marRight w:val="0"/>
          <w:marTop w:val="0"/>
          <w:marBottom w:val="0"/>
          <w:divBdr>
            <w:top w:val="none" w:sz="0" w:space="0" w:color="auto"/>
            <w:left w:val="none" w:sz="0" w:space="0" w:color="auto"/>
            <w:bottom w:val="none" w:sz="0" w:space="0" w:color="auto"/>
            <w:right w:val="none" w:sz="0" w:space="0" w:color="auto"/>
          </w:divBdr>
          <w:divsChild>
            <w:div w:id="1638679707">
              <w:marLeft w:val="0"/>
              <w:marRight w:val="0"/>
              <w:marTop w:val="0"/>
              <w:marBottom w:val="0"/>
              <w:divBdr>
                <w:top w:val="none" w:sz="0" w:space="0" w:color="auto"/>
                <w:left w:val="none" w:sz="0" w:space="0" w:color="auto"/>
                <w:bottom w:val="none" w:sz="0" w:space="0" w:color="auto"/>
                <w:right w:val="none" w:sz="0" w:space="0" w:color="auto"/>
              </w:divBdr>
              <w:divsChild>
                <w:div w:id="242036818">
                  <w:marLeft w:val="0"/>
                  <w:marRight w:val="0"/>
                  <w:marTop w:val="0"/>
                  <w:marBottom w:val="0"/>
                  <w:divBdr>
                    <w:top w:val="none" w:sz="0" w:space="0" w:color="auto"/>
                    <w:left w:val="none" w:sz="0" w:space="0" w:color="auto"/>
                    <w:bottom w:val="none" w:sz="0" w:space="0" w:color="auto"/>
                    <w:right w:val="none" w:sz="0" w:space="0" w:color="auto"/>
                  </w:divBdr>
                  <w:divsChild>
                    <w:div w:id="1399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89976">
      <w:bodyDiv w:val="1"/>
      <w:marLeft w:val="0"/>
      <w:marRight w:val="0"/>
      <w:marTop w:val="0"/>
      <w:marBottom w:val="0"/>
      <w:divBdr>
        <w:top w:val="none" w:sz="0" w:space="0" w:color="auto"/>
        <w:left w:val="none" w:sz="0" w:space="0" w:color="auto"/>
        <w:bottom w:val="none" w:sz="0" w:space="0" w:color="auto"/>
        <w:right w:val="none" w:sz="0" w:space="0" w:color="auto"/>
      </w:divBdr>
    </w:div>
    <w:div w:id="1865054863">
      <w:bodyDiv w:val="1"/>
      <w:marLeft w:val="0"/>
      <w:marRight w:val="0"/>
      <w:marTop w:val="0"/>
      <w:marBottom w:val="0"/>
      <w:divBdr>
        <w:top w:val="none" w:sz="0" w:space="0" w:color="auto"/>
        <w:left w:val="none" w:sz="0" w:space="0" w:color="auto"/>
        <w:bottom w:val="none" w:sz="0" w:space="0" w:color="auto"/>
        <w:right w:val="none" w:sz="0" w:space="0" w:color="auto"/>
      </w:divBdr>
    </w:div>
    <w:div w:id="1888450383">
      <w:bodyDiv w:val="1"/>
      <w:marLeft w:val="0"/>
      <w:marRight w:val="0"/>
      <w:marTop w:val="0"/>
      <w:marBottom w:val="0"/>
      <w:divBdr>
        <w:top w:val="none" w:sz="0" w:space="0" w:color="auto"/>
        <w:left w:val="none" w:sz="0" w:space="0" w:color="auto"/>
        <w:bottom w:val="none" w:sz="0" w:space="0" w:color="auto"/>
        <w:right w:val="none" w:sz="0" w:space="0" w:color="auto"/>
      </w:divBdr>
    </w:div>
    <w:div w:id="1900286803">
      <w:bodyDiv w:val="1"/>
      <w:marLeft w:val="0"/>
      <w:marRight w:val="0"/>
      <w:marTop w:val="0"/>
      <w:marBottom w:val="0"/>
      <w:divBdr>
        <w:top w:val="none" w:sz="0" w:space="0" w:color="auto"/>
        <w:left w:val="none" w:sz="0" w:space="0" w:color="auto"/>
        <w:bottom w:val="none" w:sz="0" w:space="0" w:color="auto"/>
        <w:right w:val="none" w:sz="0" w:space="0" w:color="auto"/>
      </w:divBdr>
    </w:div>
    <w:div w:id="1911504154">
      <w:bodyDiv w:val="1"/>
      <w:marLeft w:val="0"/>
      <w:marRight w:val="0"/>
      <w:marTop w:val="0"/>
      <w:marBottom w:val="0"/>
      <w:divBdr>
        <w:top w:val="none" w:sz="0" w:space="0" w:color="auto"/>
        <w:left w:val="none" w:sz="0" w:space="0" w:color="auto"/>
        <w:bottom w:val="none" w:sz="0" w:space="0" w:color="auto"/>
        <w:right w:val="none" w:sz="0" w:space="0" w:color="auto"/>
      </w:divBdr>
    </w:div>
    <w:div w:id="1923100271">
      <w:bodyDiv w:val="1"/>
      <w:marLeft w:val="0"/>
      <w:marRight w:val="0"/>
      <w:marTop w:val="0"/>
      <w:marBottom w:val="0"/>
      <w:divBdr>
        <w:top w:val="none" w:sz="0" w:space="0" w:color="auto"/>
        <w:left w:val="none" w:sz="0" w:space="0" w:color="auto"/>
        <w:bottom w:val="none" w:sz="0" w:space="0" w:color="auto"/>
        <w:right w:val="none" w:sz="0" w:space="0" w:color="auto"/>
      </w:divBdr>
    </w:div>
    <w:div w:id="1956863462">
      <w:bodyDiv w:val="1"/>
      <w:marLeft w:val="0"/>
      <w:marRight w:val="0"/>
      <w:marTop w:val="0"/>
      <w:marBottom w:val="0"/>
      <w:divBdr>
        <w:top w:val="none" w:sz="0" w:space="0" w:color="auto"/>
        <w:left w:val="none" w:sz="0" w:space="0" w:color="auto"/>
        <w:bottom w:val="none" w:sz="0" w:space="0" w:color="auto"/>
        <w:right w:val="none" w:sz="0" w:space="0" w:color="auto"/>
      </w:divBdr>
      <w:divsChild>
        <w:div w:id="1727223453">
          <w:marLeft w:val="0"/>
          <w:marRight w:val="0"/>
          <w:marTop w:val="0"/>
          <w:marBottom w:val="0"/>
          <w:divBdr>
            <w:top w:val="none" w:sz="0" w:space="0" w:color="auto"/>
            <w:left w:val="none" w:sz="0" w:space="0" w:color="auto"/>
            <w:bottom w:val="none" w:sz="0" w:space="0" w:color="auto"/>
            <w:right w:val="none" w:sz="0" w:space="0" w:color="auto"/>
          </w:divBdr>
          <w:divsChild>
            <w:div w:id="1195772251">
              <w:marLeft w:val="0"/>
              <w:marRight w:val="0"/>
              <w:marTop w:val="0"/>
              <w:marBottom w:val="0"/>
              <w:divBdr>
                <w:top w:val="none" w:sz="0" w:space="0" w:color="auto"/>
                <w:left w:val="none" w:sz="0" w:space="0" w:color="auto"/>
                <w:bottom w:val="none" w:sz="0" w:space="0" w:color="auto"/>
                <w:right w:val="none" w:sz="0" w:space="0" w:color="auto"/>
              </w:divBdr>
              <w:divsChild>
                <w:div w:id="1926719831">
                  <w:marLeft w:val="0"/>
                  <w:marRight w:val="0"/>
                  <w:marTop w:val="0"/>
                  <w:marBottom w:val="0"/>
                  <w:divBdr>
                    <w:top w:val="none" w:sz="0" w:space="0" w:color="auto"/>
                    <w:left w:val="none" w:sz="0" w:space="0" w:color="auto"/>
                    <w:bottom w:val="none" w:sz="0" w:space="0" w:color="auto"/>
                    <w:right w:val="none" w:sz="0" w:space="0" w:color="auto"/>
                  </w:divBdr>
                  <w:divsChild>
                    <w:div w:id="838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7359">
      <w:bodyDiv w:val="1"/>
      <w:marLeft w:val="0"/>
      <w:marRight w:val="0"/>
      <w:marTop w:val="0"/>
      <w:marBottom w:val="0"/>
      <w:divBdr>
        <w:top w:val="none" w:sz="0" w:space="0" w:color="auto"/>
        <w:left w:val="none" w:sz="0" w:space="0" w:color="auto"/>
        <w:bottom w:val="none" w:sz="0" w:space="0" w:color="auto"/>
        <w:right w:val="none" w:sz="0" w:space="0" w:color="auto"/>
      </w:divBdr>
    </w:div>
    <w:div w:id="2010135587">
      <w:bodyDiv w:val="1"/>
      <w:marLeft w:val="0"/>
      <w:marRight w:val="0"/>
      <w:marTop w:val="0"/>
      <w:marBottom w:val="0"/>
      <w:divBdr>
        <w:top w:val="none" w:sz="0" w:space="0" w:color="auto"/>
        <w:left w:val="none" w:sz="0" w:space="0" w:color="auto"/>
        <w:bottom w:val="none" w:sz="0" w:space="0" w:color="auto"/>
        <w:right w:val="none" w:sz="0" w:space="0" w:color="auto"/>
      </w:divBdr>
    </w:div>
    <w:div w:id="2030567956">
      <w:bodyDiv w:val="1"/>
      <w:marLeft w:val="0"/>
      <w:marRight w:val="0"/>
      <w:marTop w:val="0"/>
      <w:marBottom w:val="0"/>
      <w:divBdr>
        <w:top w:val="none" w:sz="0" w:space="0" w:color="auto"/>
        <w:left w:val="none" w:sz="0" w:space="0" w:color="auto"/>
        <w:bottom w:val="none" w:sz="0" w:space="0" w:color="auto"/>
        <w:right w:val="none" w:sz="0" w:space="0" w:color="auto"/>
      </w:divBdr>
    </w:div>
    <w:div w:id="2034769490">
      <w:bodyDiv w:val="1"/>
      <w:marLeft w:val="0"/>
      <w:marRight w:val="0"/>
      <w:marTop w:val="0"/>
      <w:marBottom w:val="0"/>
      <w:divBdr>
        <w:top w:val="none" w:sz="0" w:space="0" w:color="auto"/>
        <w:left w:val="none" w:sz="0" w:space="0" w:color="auto"/>
        <w:bottom w:val="none" w:sz="0" w:space="0" w:color="auto"/>
        <w:right w:val="none" w:sz="0" w:space="0" w:color="auto"/>
      </w:divBdr>
      <w:divsChild>
        <w:div w:id="2111386978">
          <w:marLeft w:val="0"/>
          <w:marRight w:val="0"/>
          <w:marTop w:val="0"/>
          <w:marBottom w:val="0"/>
          <w:divBdr>
            <w:top w:val="none" w:sz="0" w:space="0" w:color="auto"/>
            <w:left w:val="none" w:sz="0" w:space="0" w:color="auto"/>
            <w:bottom w:val="none" w:sz="0" w:space="0" w:color="auto"/>
            <w:right w:val="none" w:sz="0" w:space="0" w:color="auto"/>
          </w:divBdr>
          <w:divsChild>
            <w:div w:id="587618497">
              <w:marLeft w:val="0"/>
              <w:marRight w:val="0"/>
              <w:marTop w:val="0"/>
              <w:marBottom w:val="0"/>
              <w:divBdr>
                <w:top w:val="none" w:sz="0" w:space="0" w:color="auto"/>
                <w:left w:val="none" w:sz="0" w:space="0" w:color="auto"/>
                <w:bottom w:val="none" w:sz="0" w:space="0" w:color="auto"/>
                <w:right w:val="none" w:sz="0" w:space="0" w:color="auto"/>
              </w:divBdr>
              <w:divsChild>
                <w:div w:id="4400652">
                  <w:marLeft w:val="0"/>
                  <w:marRight w:val="0"/>
                  <w:marTop w:val="0"/>
                  <w:marBottom w:val="0"/>
                  <w:divBdr>
                    <w:top w:val="none" w:sz="0" w:space="0" w:color="auto"/>
                    <w:left w:val="none" w:sz="0" w:space="0" w:color="auto"/>
                    <w:bottom w:val="none" w:sz="0" w:space="0" w:color="auto"/>
                    <w:right w:val="none" w:sz="0" w:space="0" w:color="auto"/>
                  </w:divBdr>
                  <w:divsChild>
                    <w:div w:id="213616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01998">
      <w:bodyDiv w:val="1"/>
      <w:marLeft w:val="0"/>
      <w:marRight w:val="0"/>
      <w:marTop w:val="0"/>
      <w:marBottom w:val="0"/>
      <w:divBdr>
        <w:top w:val="none" w:sz="0" w:space="0" w:color="auto"/>
        <w:left w:val="none" w:sz="0" w:space="0" w:color="auto"/>
        <w:bottom w:val="none" w:sz="0" w:space="0" w:color="auto"/>
        <w:right w:val="none" w:sz="0" w:space="0" w:color="auto"/>
      </w:divBdr>
    </w:div>
    <w:div w:id="2103380888">
      <w:bodyDiv w:val="1"/>
      <w:marLeft w:val="0"/>
      <w:marRight w:val="0"/>
      <w:marTop w:val="0"/>
      <w:marBottom w:val="0"/>
      <w:divBdr>
        <w:top w:val="none" w:sz="0" w:space="0" w:color="auto"/>
        <w:left w:val="none" w:sz="0" w:space="0" w:color="auto"/>
        <w:bottom w:val="none" w:sz="0" w:space="0" w:color="auto"/>
        <w:right w:val="none" w:sz="0" w:space="0" w:color="auto"/>
      </w:divBdr>
    </w:div>
    <w:div w:id="2117015065">
      <w:bodyDiv w:val="1"/>
      <w:marLeft w:val="0"/>
      <w:marRight w:val="0"/>
      <w:marTop w:val="0"/>
      <w:marBottom w:val="0"/>
      <w:divBdr>
        <w:top w:val="none" w:sz="0" w:space="0" w:color="auto"/>
        <w:left w:val="none" w:sz="0" w:space="0" w:color="auto"/>
        <w:bottom w:val="none" w:sz="0" w:space="0" w:color="auto"/>
        <w:right w:val="none" w:sz="0" w:space="0" w:color="auto"/>
      </w:divBdr>
    </w:div>
    <w:div w:id="21298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scot/business-and-industry/safety-and-regulation/regulation-legislation/general-food-l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se.gov.uk/coshh/index.htm" TargetMode="External"/><Relationship Id="rId4" Type="http://schemas.openxmlformats.org/officeDocument/2006/relationships/settings" Target="settings.xml"/><Relationship Id="rId9" Type="http://schemas.openxmlformats.org/officeDocument/2006/relationships/hyperlink" Target="http://www.boshers.co.uk/blog/health-and-safety-guidance/fire-safety-of-furniture-and-furnishings-in-your-holiday-home/"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hse.gov.uk/pubns/indg231.pdf" TargetMode="External"/><Relationship Id="rId13" Type="http://schemas.openxmlformats.org/officeDocument/2006/relationships/hyperlink" Target="https://static1.squarespace.com/static/592576e4b8a79b7c470261cb/t/5e7b83e9223c2f20ac35c9d8/1585153001941/STAA+code+of+conduct+-+June+2019.pdf" TargetMode="External"/><Relationship Id="rId18" Type="http://schemas.openxmlformats.org/officeDocument/2006/relationships/hyperlink" Target="https://consult.gov.scot/housing-services-policy-unit/short-term-lets-licensing-scheme/consultation/view_respondent?_b_index=480&amp;uuId=738532527" TargetMode="External"/><Relationship Id="rId26" Type="http://schemas.openxmlformats.org/officeDocument/2006/relationships/hyperlink" Target="https://consult.gov.scot/housing-services-policy-unit/short-term-lets-licensing-scheme/consultation/view_respondent?show_all_questions=0&amp;sort=submitted&amp;order=ascending&amp;_q__text=West+Dunbartonshire+Council&amp;uuId=124670121" TargetMode="External"/><Relationship Id="rId3" Type="http://schemas.openxmlformats.org/officeDocument/2006/relationships/hyperlink" Target="https://www.gov.scot/binaries/content/documents/govscot/publications/impact-assessment/2021/06/short-term-lets-licensing-scheme-planning-control-area-legislation-draft-business-regulatory-impact-assessment-bria/documents/short-term-lets-licensing-scheme-planning-control-area-legislation-draft-business-regulatory-impact-assessment-bria-consultation/short-term-lets-licensing-scheme-planning-control-area-legislation-draft-business-regulatory-impact-assessment-bria-consultation/govscot%3Adocument/short-term-lets-licensing-scheme-planning-control-area-legislation-draft-business-regulatory-impact-assessment-bria-consultation.pdf" TargetMode="External"/><Relationship Id="rId21" Type="http://schemas.openxmlformats.org/officeDocument/2006/relationships/hyperlink" Target="https://consult.gov.scot/housing-services-policy-unit/short-term-lets-licensing-scheme/consultation/view_respondent?_b_index=900&amp;uuId=52867059" TargetMode="External"/><Relationship Id="rId7" Type="http://schemas.openxmlformats.org/officeDocument/2006/relationships/hyperlink" Target="https://www.gov.scot/publications/practical-fire-safety-guidance-existing-premises-sleeping-accommodation/" TargetMode="External"/><Relationship Id="rId12" Type="http://schemas.openxmlformats.org/officeDocument/2006/relationships/hyperlink" Target="https://www.assc.co.uk/policy/code-of-conduct/" TargetMode="External"/><Relationship Id="rId17" Type="http://schemas.openxmlformats.org/officeDocument/2006/relationships/hyperlink" Target="https://consult.gov.scot/housing-services-policy-unit/short-term-lets-licensing-scheme/consultation/view_respondent?_b_index=900&amp;uuId=552786991" TargetMode="External"/><Relationship Id="rId25" Type="http://schemas.openxmlformats.org/officeDocument/2006/relationships/hyperlink" Target="https://consult.gov.scot/housing-services-policy-unit/short-term-lets-licensing-scheme/consultation/view_respondent?_b_index=900&amp;uuId=465853950" TargetMode="External"/><Relationship Id="rId2" Type="http://schemas.openxmlformats.org/officeDocument/2006/relationships/hyperlink" Target="https://www.assc.co.uk/wp-content/uploads/2020/12/2020_ForwardTogether.pdf" TargetMode="External"/><Relationship Id="rId16" Type="http://schemas.openxmlformats.org/officeDocument/2006/relationships/hyperlink" Target="https://www.themplc.co.uk" TargetMode="External"/><Relationship Id="rId20" Type="http://schemas.openxmlformats.org/officeDocument/2006/relationships/hyperlink" Target="https://consult.gov.scot/housing-services-policy-unit/short-term-lets-licensing-scheme/consultation/view_respondent?_b_index=780&amp;uuId=458288928" TargetMode="External"/><Relationship Id="rId1" Type="http://schemas.openxmlformats.org/officeDocument/2006/relationships/hyperlink" Target="https://www.assc.co.uk/wp-content/uploads/2018/06/MoreThanJustHouses.pdf" TargetMode="External"/><Relationship Id="rId6" Type="http://schemas.openxmlformats.org/officeDocument/2006/relationships/hyperlink" Target="https://www.parliament.scot/chamber-and-committees/written-questions-and-answers/question?ref=S6W-02109" TargetMode="External"/><Relationship Id="rId11" Type="http://schemas.openxmlformats.org/officeDocument/2006/relationships/hyperlink" Target="https://www.qualityintourism.com/quality-assessment/safe-clean-and-legal" TargetMode="External"/><Relationship Id="rId24" Type="http://schemas.openxmlformats.org/officeDocument/2006/relationships/hyperlink" Target="https://consult.gov.scot/housing-services-policy-unit/short-term-lets-licensing-scheme/consultation/view_respondent?_b_index=900&amp;uuId=900902345" TargetMode="External"/><Relationship Id="rId5" Type="http://schemas.openxmlformats.org/officeDocument/2006/relationships/hyperlink" Target="https://www.parliament.scot/chamber-and-committees/written-questions-and-answers/question?ref=S6W-02111" TargetMode="External"/><Relationship Id="rId15" Type="http://schemas.openxmlformats.org/officeDocument/2006/relationships/hyperlink" Target="https://www.googleadservices.com/pagead/aclk?sa=L&amp;ai=DChcSEwil5v7y-4T0AhWRuu0KHeGqD1cYABAAGgJkZw&amp;ae=2&amp;ohost=www.google.com&amp;cid=CAESQOD2B_vfMcJThw4lerUmXRT28Y98i4UQJ-RTSeBcCsFzh6TfhPgbkmK5El8n_lM_Cru7yWjw7fJgYuwZN-DfzcI&amp;sig=AOD64_0uMb3R5IK-mF_3QouvRk5ERwNKtQ&amp;q&amp;adurl&amp;ved=2ahUKEwix0ffy-4T0AhVTSsAKHUieD2IQ0Qx6BAgCEAE&amp;dct=1" TargetMode="External"/><Relationship Id="rId23" Type="http://schemas.openxmlformats.org/officeDocument/2006/relationships/hyperlink" Target="https://consult.gov.scot/housing-services-policy-unit/short-term-lets-licensing-scheme/consultation/view_respondent?_b_index=780&amp;uuId=560815682" TargetMode="External"/><Relationship Id="rId10" Type="http://schemas.openxmlformats.org/officeDocument/2006/relationships/hyperlink" Target="https://www.assc.co.uk/policy/cleaning-protocols-for-self-catering-properties-in-the-context-of-covid-19/" TargetMode="External"/><Relationship Id="rId19" Type="http://schemas.openxmlformats.org/officeDocument/2006/relationships/hyperlink" Target="https://consult.gov.scot/housing-services-policy-unit/short-term-lets-licensing-scheme/consultation/view_respondent?show_all_questions=0&amp;sort=submitted&amp;order=ascending&amp;_q__text=borders&amp;uuId=648059965" TargetMode="External"/><Relationship Id="rId4" Type="http://schemas.openxmlformats.org/officeDocument/2006/relationships/hyperlink" Target="https://news.airbnb.com/wp-content/uploads/sites/4/2021/06/UK_RegistrationWhitepaper_2021.pdf?_ga=2.58889198.2135609438.1634834161-1390504533.1634834161" TargetMode="External"/><Relationship Id="rId9" Type="http://schemas.openxmlformats.org/officeDocument/2006/relationships/hyperlink" Target="http://www.hse.gov.uk/legionnaires/spa-pools.htm" TargetMode="External"/><Relationship Id="rId14" Type="http://schemas.openxmlformats.org/officeDocument/2006/relationships/hyperlink" Target="https://www.gov.scot/publications/energy-performance-certificates-for-holiday-lets-guidance/" TargetMode="External"/><Relationship Id="rId22" Type="http://schemas.openxmlformats.org/officeDocument/2006/relationships/hyperlink" Target="https://consult.gov.scot/housing-services-policy-unit/short-term-lets-licensing-scheme/consultation/view_respondent?_b_index=840&amp;uuId=880423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EAA0-2EF9-4D92-A8EB-66635A3B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3622</Words>
  <Characters>20649</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Mackay L (Lynsey)</cp:lastModifiedBy>
  <cp:revision>2</cp:revision>
  <cp:lastPrinted>2021-10-07T13:11:00Z</cp:lastPrinted>
  <dcterms:created xsi:type="dcterms:W3CDTF">2021-12-20T16:09:00Z</dcterms:created>
  <dcterms:modified xsi:type="dcterms:W3CDTF">2021-12-20T16:09:00Z</dcterms:modified>
</cp:coreProperties>
</file>